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B936" w14:textId="1FCC4E2F" w:rsidR="000C56B3" w:rsidRDefault="00887067" w:rsidP="00887067">
      <w:pPr>
        <w:spacing w:after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5581BE" wp14:editId="75BA2732">
            <wp:simplePos x="0" y="0"/>
            <wp:positionH relativeFrom="column">
              <wp:posOffset>-1248410</wp:posOffset>
            </wp:positionH>
            <wp:positionV relativeFrom="page">
              <wp:posOffset>79</wp:posOffset>
            </wp:positionV>
            <wp:extent cx="7909200" cy="11185200"/>
            <wp:effectExtent l="0" t="0" r="0" b="0"/>
            <wp:wrapNone/>
            <wp:docPr id="841063964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63964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9200" cy="111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6B3">
        <w:rPr>
          <w:noProof/>
        </w:rPr>
        <w:drawing>
          <wp:inline distT="0" distB="0" distL="0" distR="0" wp14:anchorId="7147A6AE" wp14:editId="5AF1B54D">
            <wp:extent cx="3187337" cy="598200"/>
            <wp:effectExtent l="0" t="0" r="0" b="0"/>
            <wp:docPr id="659082661" name="Picture 8" descr="National Anti-Corruption Commi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82661" name="Picture 8" descr="National Anti-Corruption Commissio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927" cy="61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65EC" w14:textId="5112D1C6" w:rsidR="006177AC" w:rsidRPr="00CC7A3B" w:rsidRDefault="00CC7A3B" w:rsidP="00CC7A3B">
      <w:pPr>
        <w:autoSpaceDE w:val="0"/>
        <w:autoSpaceDN w:val="0"/>
        <w:adjustRightInd w:val="0"/>
        <w:spacing w:before="0" w:after="1920" w:line="240" w:lineRule="auto"/>
        <w:rPr>
          <w:rFonts w:ascii="WorkSans-SemiBold" w:hAnsi="WorkSans-SemiBold" w:cs="WorkSans-SemiBold"/>
          <w:b/>
          <w:bCs/>
          <w:color w:val="FFFFFF"/>
          <w:kern w:val="0"/>
          <w:sz w:val="80"/>
          <w:szCs w:val="80"/>
        </w:rPr>
        <w:sectPr w:rsidR="006177AC" w:rsidRPr="00CC7A3B" w:rsidSect="008870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335" w:right="1440" w:bottom="1440" w:left="1440" w:header="0" w:footer="709" w:gutter="0"/>
          <w:cols w:space="708"/>
          <w:titlePg/>
          <w:docGrid w:linePitch="360"/>
        </w:sectPr>
      </w:pPr>
      <w:r>
        <w:rPr>
          <w:rFonts w:ascii="WorkSans-SemiBold" w:hAnsi="WorkSans-SemiBold" w:cs="WorkSans-SemiBold"/>
          <w:b/>
          <w:bCs/>
          <w:color w:val="FFFFFF"/>
          <w:kern w:val="0"/>
          <w:sz w:val="80"/>
          <w:szCs w:val="80"/>
        </w:rPr>
        <w:t xml:space="preserve">Information for </w:t>
      </w:r>
      <w:r>
        <w:rPr>
          <w:rFonts w:ascii="WorkSans-SemiBold" w:hAnsi="WorkSans-SemiBold" w:cs="WorkSans-SemiBold"/>
          <w:b/>
          <w:bCs/>
          <w:color w:val="FFFFFF"/>
          <w:kern w:val="0"/>
          <w:sz w:val="80"/>
          <w:szCs w:val="80"/>
        </w:rPr>
        <w:br/>
        <w:t xml:space="preserve">persons interacting </w:t>
      </w:r>
      <w:r>
        <w:rPr>
          <w:rFonts w:ascii="WorkSans-SemiBold" w:hAnsi="WorkSans-SemiBold" w:cs="WorkSans-SemiBold"/>
          <w:b/>
          <w:bCs/>
          <w:color w:val="FFFFFF"/>
          <w:kern w:val="0"/>
          <w:sz w:val="80"/>
          <w:szCs w:val="80"/>
        </w:rPr>
        <w:br/>
        <w:t>with the NACC</w:t>
      </w:r>
    </w:p>
    <w:p w14:paraId="442E8415" w14:textId="41C841CB" w:rsidR="00CC7A3B" w:rsidRDefault="00CC7A3B" w:rsidP="00CC7A3B">
      <w:pPr>
        <w:rPr>
          <w:noProof/>
          <w:color w:val="1A5A8D" w:themeColor="text1"/>
          <w:sz w:val="32"/>
          <w:szCs w:val="32"/>
        </w:rPr>
      </w:pPr>
      <w:r w:rsidRPr="00CC7A3B">
        <w:rPr>
          <w:noProof/>
          <w:color w:val="1A5A8D" w:themeColor="text1"/>
          <w:sz w:val="32"/>
          <w:szCs w:val="32"/>
        </w:rPr>
        <w:t>This fact sheet provides information for people</w:t>
      </w:r>
      <w:r>
        <w:rPr>
          <w:noProof/>
          <w:color w:val="1A5A8D" w:themeColor="text1"/>
          <w:sz w:val="32"/>
          <w:szCs w:val="32"/>
        </w:rPr>
        <w:t xml:space="preserve"> </w:t>
      </w:r>
      <w:r w:rsidRPr="00CC7A3B">
        <w:rPr>
          <w:noProof/>
          <w:color w:val="1A5A8D" w:themeColor="text1"/>
          <w:sz w:val="32"/>
          <w:szCs w:val="32"/>
        </w:rPr>
        <w:t>who have contact with the Commission about</w:t>
      </w:r>
      <w:r>
        <w:rPr>
          <w:noProof/>
          <w:color w:val="1A5A8D" w:themeColor="text1"/>
          <w:sz w:val="32"/>
          <w:szCs w:val="32"/>
        </w:rPr>
        <w:t xml:space="preserve"> </w:t>
      </w:r>
      <w:r w:rsidRPr="00CC7A3B">
        <w:rPr>
          <w:noProof/>
          <w:color w:val="1A5A8D" w:themeColor="text1"/>
          <w:sz w:val="32"/>
          <w:szCs w:val="32"/>
        </w:rPr>
        <w:t>corruption issues – for example by making a</w:t>
      </w:r>
      <w:r>
        <w:rPr>
          <w:noProof/>
          <w:color w:val="1A5A8D" w:themeColor="text1"/>
          <w:sz w:val="32"/>
          <w:szCs w:val="32"/>
        </w:rPr>
        <w:t xml:space="preserve"> </w:t>
      </w:r>
      <w:r w:rsidRPr="00CC7A3B">
        <w:rPr>
          <w:noProof/>
          <w:color w:val="1A5A8D" w:themeColor="text1"/>
          <w:sz w:val="32"/>
          <w:szCs w:val="32"/>
        </w:rPr>
        <w:t>referral, being asked to provide information or</w:t>
      </w:r>
      <w:r>
        <w:rPr>
          <w:noProof/>
          <w:color w:val="1A5A8D" w:themeColor="text1"/>
          <w:sz w:val="32"/>
          <w:szCs w:val="32"/>
        </w:rPr>
        <w:t xml:space="preserve"> </w:t>
      </w:r>
      <w:r w:rsidRPr="00CC7A3B">
        <w:rPr>
          <w:noProof/>
          <w:color w:val="1A5A8D" w:themeColor="text1"/>
          <w:sz w:val="32"/>
          <w:szCs w:val="32"/>
        </w:rPr>
        <w:t>attend an interview or hearing, or by becoming</w:t>
      </w:r>
      <w:r>
        <w:rPr>
          <w:noProof/>
          <w:color w:val="1A5A8D" w:themeColor="text1"/>
          <w:sz w:val="32"/>
          <w:szCs w:val="32"/>
        </w:rPr>
        <w:t xml:space="preserve"> </w:t>
      </w:r>
      <w:r w:rsidRPr="00CC7A3B">
        <w:rPr>
          <w:noProof/>
          <w:color w:val="1A5A8D" w:themeColor="text1"/>
          <w:sz w:val="32"/>
          <w:szCs w:val="32"/>
        </w:rPr>
        <w:t>aware that the Commission is conducting an</w:t>
      </w:r>
      <w:r>
        <w:rPr>
          <w:noProof/>
          <w:color w:val="1A5A8D" w:themeColor="text1"/>
          <w:sz w:val="32"/>
          <w:szCs w:val="32"/>
        </w:rPr>
        <w:t xml:space="preserve"> </w:t>
      </w:r>
      <w:r w:rsidRPr="00CC7A3B">
        <w:rPr>
          <w:noProof/>
          <w:color w:val="1A5A8D" w:themeColor="text1"/>
          <w:sz w:val="32"/>
          <w:szCs w:val="32"/>
        </w:rPr>
        <w:t>investigation that could affect their interests.</w:t>
      </w:r>
    </w:p>
    <w:p w14:paraId="767EB7CE" w14:textId="664B7278" w:rsidR="00CC7A3B" w:rsidRPr="00CC7A3B" w:rsidRDefault="00CC7A3B" w:rsidP="00CC7A3B">
      <w:pPr>
        <w:rPr>
          <w:i/>
          <w:iCs/>
          <w:noProof/>
        </w:rPr>
      </w:pPr>
      <w:r>
        <w:rPr>
          <w:noProof/>
        </w:rPr>
        <w:t xml:space="preserve">It is about their rights and obligations under the </w:t>
      </w:r>
      <w:r w:rsidRPr="00CC7A3B">
        <w:rPr>
          <w:i/>
          <w:iCs/>
          <w:noProof/>
        </w:rPr>
        <w:t>National Anti-Corruption</w:t>
      </w:r>
      <w:r>
        <w:rPr>
          <w:i/>
          <w:iCs/>
          <w:noProof/>
        </w:rPr>
        <w:t xml:space="preserve"> </w:t>
      </w:r>
      <w:r w:rsidRPr="00CC7A3B">
        <w:rPr>
          <w:i/>
          <w:iCs/>
          <w:noProof/>
        </w:rPr>
        <w:t>Commission Act 2022</w:t>
      </w:r>
      <w:r>
        <w:rPr>
          <w:noProof/>
        </w:rPr>
        <w:t xml:space="preserve"> (Cth) (NACC Act).</w:t>
      </w:r>
    </w:p>
    <w:p w14:paraId="765E52EB" w14:textId="77777777" w:rsidR="00CC7A3B" w:rsidRDefault="00CC7A3B" w:rsidP="00CC7A3B">
      <w:pPr>
        <w:pStyle w:val="Heading2"/>
        <w:rPr>
          <w:noProof/>
        </w:rPr>
      </w:pPr>
      <w:r>
        <w:rPr>
          <w:noProof/>
        </w:rPr>
        <w:t>Who can I tell?</w:t>
      </w:r>
    </w:p>
    <w:p w14:paraId="1EFA245B" w14:textId="02CF028F" w:rsidR="00CC7A3B" w:rsidRDefault="00CC7A3B" w:rsidP="00CC7A3B">
      <w:pPr>
        <w:rPr>
          <w:noProof/>
        </w:rPr>
      </w:pPr>
      <w:r>
        <w:rPr>
          <w:noProof/>
        </w:rPr>
        <w:t xml:space="preserve">The Commission will generally not disclose what matters have been referred to it and by whom they have been referred. However, generally, </w:t>
      </w:r>
      <w:r w:rsidRPr="00CC7A3B">
        <w:rPr>
          <w:b/>
          <w:bCs/>
          <w:noProof/>
        </w:rPr>
        <w:t>unless there is a non-disclosure notation under s 95 of the NACC Act or direction under s 100(1)</w:t>
      </w:r>
      <w:r>
        <w:rPr>
          <w:noProof/>
        </w:rPr>
        <w:t>, there is no restriction on communicating to others your contact with the Commission.</w:t>
      </w:r>
    </w:p>
    <w:p w14:paraId="6F6F4E39" w14:textId="2BDBBB65" w:rsidR="00CC7A3B" w:rsidRDefault="00CC7A3B" w:rsidP="00CC7A3B">
      <w:pPr>
        <w:rPr>
          <w:noProof/>
        </w:rPr>
      </w:pPr>
      <w:r>
        <w:rPr>
          <w:noProof/>
        </w:rPr>
        <w:lastRenderedPageBreak/>
        <w:t>In particular, there is no prohibition on telling anyone, if you wish, that you have made a referral to the Commission, or have been asked to attend an interview, or received a request for information.</w:t>
      </w:r>
    </w:p>
    <w:p w14:paraId="091F6622" w14:textId="6FA997A2" w:rsidR="00CC7A3B" w:rsidRDefault="00CC7A3B" w:rsidP="00CC7A3B">
      <w:pPr>
        <w:rPr>
          <w:noProof/>
        </w:rPr>
      </w:pPr>
      <w:r>
        <w:rPr>
          <w:noProof/>
        </w:rPr>
        <w:t>Generally, you can tell your employer about a hearing summons if you need to arrange time off to comply with their summons.</w:t>
      </w:r>
    </w:p>
    <w:p w14:paraId="3B58CBC9" w14:textId="77777777" w:rsidR="00CC7A3B" w:rsidRDefault="00CC7A3B" w:rsidP="00CC7A3B">
      <w:pPr>
        <w:pStyle w:val="Heading2"/>
        <w:rPr>
          <w:noProof/>
        </w:rPr>
      </w:pPr>
      <w:r>
        <w:rPr>
          <w:noProof/>
        </w:rPr>
        <w:t>What if there is a non-disclosure notation under s 95 of the NACC Act?</w:t>
      </w:r>
    </w:p>
    <w:p w14:paraId="2EEA6AF2" w14:textId="0958611C" w:rsidR="00CC7A3B" w:rsidRDefault="00CC7A3B" w:rsidP="00CC7A3B">
      <w:pPr>
        <w:rPr>
          <w:noProof/>
        </w:rPr>
      </w:pPr>
      <w:r>
        <w:rPr>
          <w:noProof/>
        </w:rPr>
        <w:t xml:space="preserve">If a notice to produce or private hearing summons includes a </w:t>
      </w:r>
      <w:r w:rsidRPr="00CF1D6C">
        <w:rPr>
          <w:b/>
          <w:bCs/>
          <w:noProof/>
        </w:rPr>
        <w:t>non-disclosure notation</w:t>
      </w:r>
      <w:r>
        <w:rPr>
          <w:noProof/>
        </w:rPr>
        <w:t>, you must comply with its requirements. Any such notice or summons will be accompanied by a statement setting out your rights and obligations under s 98 of the NACC Act (offence—failure to comply with non disclosure notations). You should carefully read this document.</w:t>
      </w:r>
    </w:p>
    <w:p w14:paraId="662DBBFD" w14:textId="6B0BF97C" w:rsidR="00CC7A3B" w:rsidRDefault="00CC7A3B" w:rsidP="00CC7A3B">
      <w:pPr>
        <w:rPr>
          <w:noProof/>
        </w:rPr>
      </w:pPr>
      <w:r>
        <w:rPr>
          <w:noProof/>
        </w:rPr>
        <w:t>Broadly, if there is a non-disclosure notation, you cannot tell anyone anything about the notice or summons (including anything about a preliminary investigation or corruption investigation), except:</w:t>
      </w:r>
    </w:p>
    <w:p w14:paraId="0391B8F9" w14:textId="456EE768" w:rsidR="00CC7A3B" w:rsidRDefault="00CC7A3B" w:rsidP="00CC7A3B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in the circumstances, if any, permitted by the notation</w:t>
      </w:r>
    </w:p>
    <w:p w14:paraId="1245FA8D" w14:textId="73B4795E" w:rsidR="00CC7A3B" w:rsidRDefault="00CC7A3B" w:rsidP="00CC7A3B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to a legal practitioner, for the purpose of obtaining legal advice or representation</w:t>
      </w:r>
    </w:p>
    <w:p w14:paraId="21A9BA2F" w14:textId="6DA0F060" w:rsidR="00CC7A3B" w:rsidRDefault="00CC7A3B" w:rsidP="00CC7A3B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 xml:space="preserve">to a </w:t>
      </w:r>
      <w:r w:rsidRPr="00CC7A3B">
        <w:rPr>
          <w:b/>
          <w:bCs/>
          <w:noProof/>
        </w:rPr>
        <w:t>legal aid officer</w:t>
      </w:r>
      <w:r>
        <w:rPr>
          <w:noProof/>
        </w:rPr>
        <w:t>, for the purpose of seeking assistance</w:t>
      </w:r>
    </w:p>
    <w:p w14:paraId="2BC3C9D1" w14:textId="544726C5" w:rsidR="00CC7A3B" w:rsidRDefault="00CC7A3B" w:rsidP="00CC7A3B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to a medical practitioner or psychologist, for the purpose of obtaining medical or psychiatric care, treatment or counselling (including psychological counselling)</w:t>
      </w:r>
    </w:p>
    <w:p w14:paraId="665CB064" w14:textId="4FA2CE6C" w:rsidR="00CC7A3B" w:rsidRDefault="00CC7A3B" w:rsidP="00CC7A3B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if you are a body corporate, to an officer or agent of the body corporate, for the purpose of ensuring compliance with the notice or summons</w:t>
      </w:r>
    </w:p>
    <w:p w14:paraId="37B7B719" w14:textId="07689FCE" w:rsidR="00CC7A3B" w:rsidRDefault="00CC7A3B" w:rsidP="00CC7A3B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lastRenderedPageBreak/>
        <w:t>if you are a legal practitioner, for the purpose of giving legal advice to, or making representations on behalf of, the recipient of the notice</w:t>
      </w:r>
    </w:p>
    <w:p w14:paraId="1DF80670" w14:textId="53C759A8" w:rsidR="00CC7A3B" w:rsidRDefault="00CC7A3B" w:rsidP="00CC7A3B">
      <w:pPr>
        <w:pStyle w:val="ListParagraph"/>
        <w:numPr>
          <w:ilvl w:val="0"/>
          <w:numId w:val="8"/>
        </w:numPr>
        <w:rPr>
          <w:noProof/>
        </w:rPr>
      </w:pPr>
      <w:r>
        <w:rPr>
          <w:noProof/>
        </w:rPr>
        <w:t>if the information has already been lawfully published.</w:t>
      </w:r>
    </w:p>
    <w:p w14:paraId="73E2F8D9" w14:textId="2F3953AD" w:rsidR="00CC7A3B" w:rsidRDefault="00CC7A3B" w:rsidP="00CC7A3B">
      <w:pPr>
        <w:pStyle w:val="Heading2"/>
        <w:rPr>
          <w:noProof/>
        </w:rPr>
      </w:pPr>
      <w:r>
        <w:rPr>
          <w:noProof/>
        </w:rPr>
        <w:t>What if a non-disclosure or use direction in relation to investigation material has been made under s 100(1) of the NACC Act?</w:t>
      </w:r>
    </w:p>
    <w:p w14:paraId="586A0D9B" w14:textId="4F118EF2" w:rsidR="00CC7A3B" w:rsidRDefault="00CC7A3B" w:rsidP="00CC7A3B">
      <w:pPr>
        <w:rPr>
          <w:noProof/>
        </w:rPr>
      </w:pPr>
      <w:r>
        <w:rPr>
          <w:noProof/>
        </w:rPr>
        <w:t>If you are notified of a non-disclosure or use direction under s 100(1) of the Act you must comply with its requirements. Any such direction will be accompanied by a statement setting out your rights and obligations under s 101 of the NACC Act (Offence—use or disclosure of investigation material). You should carefully read this document.</w:t>
      </w:r>
    </w:p>
    <w:p w14:paraId="3DAC6956" w14:textId="167C3494" w:rsidR="00CC7A3B" w:rsidRDefault="00CC7A3B" w:rsidP="00CC7A3B">
      <w:pPr>
        <w:rPr>
          <w:noProof/>
        </w:rPr>
      </w:pPr>
      <w:r>
        <w:rPr>
          <w:noProof/>
        </w:rPr>
        <w:t>Broadly, if there is a direction under s 100(1), disclosure is permitted, as an</w:t>
      </w:r>
      <w:r w:rsidR="00A00B69">
        <w:rPr>
          <w:noProof/>
        </w:rPr>
        <w:t xml:space="preserve"> </w:t>
      </w:r>
      <w:r>
        <w:rPr>
          <w:noProof/>
        </w:rPr>
        <w:t>exception to the direction, in the following circumstances:</w:t>
      </w:r>
    </w:p>
    <w:p w14:paraId="52E50B18" w14:textId="790428E5" w:rsidR="00CC7A3B" w:rsidRDefault="00CC7A3B" w:rsidP="00A00B69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to a legal practitioner, for the purpose of obtaining legal advice or</w:t>
      </w:r>
      <w:r w:rsidR="00A00B69">
        <w:rPr>
          <w:noProof/>
        </w:rPr>
        <w:t xml:space="preserve"> </w:t>
      </w:r>
      <w:r>
        <w:rPr>
          <w:noProof/>
        </w:rPr>
        <w:t>representation; or</w:t>
      </w:r>
    </w:p>
    <w:p w14:paraId="37E76B1D" w14:textId="2FA1BF65" w:rsidR="00CC7A3B" w:rsidRDefault="00CC7A3B" w:rsidP="00A00B69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to a legal aid officer, for the purpose of seeking assistance; or</w:t>
      </w:r>
    </w:p>
    <w:p w14:paraId="41DCA083" w14:textId="1FB67208" w:rsidR="00CF1D6C" w:rsidRDefault="00CC7A3B" w:rsidP="00A00B69">
      <w:pPr>
        <w:pStyle w:val="ListParagraph"/>
        <w:numPr>
          <w:ilvl w:val="0"/>
          <w:numId w:val="9"/>
        </w:numPr>
        <w:rPr>
          <w:noProof/>
        </w:rPr>
      </w:pPr>
      <w:r>
        <w:rPr>
          <w:noProof/>
        </w:rPr>
        <w:t>to a medical practitioner or psychologist, for the purpose of obtaining medical</w:t>
      </w:r>
      <w:r w:rsidR="00A00B69">
        <w:rPr>
          <w:noProof/>
        </w:rPr>
        <w:t xml:space="preserve"> </w:t>
      </w:r>
      <w:r>
        <w:rPr>
          <w:noProof/>
        </w:rPr>
        <w:t>or psychiatric care, treatment or counselling (including</w:t>
      </w:r>
      <w:r w:rsidR="00A00B69">
        <w:rPr>
          <w:noProof/>
        </w:rPr>
        <w:t xml:space="preserve"> </w:t>
      </w:r>
      <w:r>
        <w:rPr>
          <w:noProof/>
        </w:rPr>
        <w:t>psychological counselling).</w:t>
      </w:r>
    </w:p>
    <w:p w14:paraId="354168F6" w14:textId="77777777" w:rsidR="00CF1D6C" w:rsidRDefault="00CF1D6C">
      <w:pPr>
        <w:spacing w:before="0" w:after="160" w:line="259" w:lineRule="auto"/>
        <w:rPr>
          <w:noProof/>
        </w:rPr>
      </w:pPr>
      <w:r>
        <w:rPr>
          <w:noProof/>
        </w:rPr>
        <w:br w:type="page"/>
      </w:r>
    </w:p>
    <w:p w14:paraId="536957D8" w14:textId="77777777" w:rsidR="00CC7A3B" w:rsidRDefault="00CC7A3B" w:rsidP="00A00B69">
      <w:pPr>
        <w:pStyle w:val="Heading2"/>
        <w:rPr>
          <w:noProof/>
        </w:rPr>
      </w:pPr>
      <w:r>
        <w:rPr>
          <w:noProof/>
        </w:rPr>
        <w:lastRenderedPageBreak/>
        <w:t>Engaging with the Commission</w:t>
      </w:r>
    </w:p>
    <w:p w14:paraId="5E41BE4C" w14:textId="07D434A4" w:rsidR="00CC7A3B" w:rsidRDefault="00CC7A3B" w:rsidP="00CC7A3B">
      <w:pPr>
        <w:rPr>
          <w:noProof/>
        </w:rPr>
      </w:pPr>
      <w:r>
        <w:rPr>
          <w:noProof/>
        </w:rPr>
        <w:t>As appears from the exceptions, even where there is a non-disclosure</w:t>
      </w:r>
      <w:r w:rsidR="00A00B69">
        <w:rPr>
          <w:noProof/>
        </w:rPr>
        <w:t xml:space="preserve"> </w:t>
      </w:r>
      <w:r>
        <w:rPr>
          <w:noProof/>
        </w:rPr>
        <w:t>requirement, you can:</w:t>
      </w:r>
    </w:p>
    <w:p w14:paraId="1B2E6279" w14:textId="72F43F5B" w:rsidR="00CC7A3B" w:rsidRDefault="00CC7A3B" w:rsidP="00A00B69">
      <w:pPr>
        <w:pStyle w:val="ListParagraph"/>
        <w:numPr>
          <w:ilvl w:val="0"/>
          <w:numId w:val="10"/>
        </w:numPr>
        <w:rPr>
          <w:noProof/>
        </w:rPr>
      </w:pPr>
      <w:r>
        <w:rPr>
          <w:noProof/>
        </w:rPr>
        <w:t>tell a lawyer about it, for the purpose of obtaining legal advice or assistance;</w:t>
      </w:r>
    </w:p>
    <w:p w14:paraId="3C9FA7E7" w14:textId="0438FB2A" w:rsidR="00CC7A3B" w:rsidRDefault="00CC7A3B" w:rsidP="00A00B69">
      <w:pPr>
        <w:pStyle w:val="ListParagraph"/>
        <w:numPr>
          <w:ilvl w:val="0"/>
          <w:numId w:val="10"/>
        </w:numPr>
        <w:rPr>
          <w:noProof/>
        </w:rPr>
      </w:pPr>
      <w:r>
        <w:rPr>
          <w:noProof/>
        </w:rPr>
        <w:t>tell a health worker about it, for the purpose of obtaining medical or</w:t>
      </w:r>
      <w:r w:rsidR="00A00B69">
        <w:rPr>
          <w:noProof/>
        </w:rPr>
        <w:t xml:space="preserve"> </w:t>
      </w:r>
      <w:r>
        <w:rPr>
          <w:noProof/>
        </w:rPr>
        <w:t>psychological assistance, including counselling.</w:t>
      </w:r>
    </w:p>
    <w:p w14:paraId="6365D901" w14:textId="6A6DA158" w:rsidR="00CC7A3B" w:rsidRDefault="00CC7A3B" w:rsidP="00CC7A3B">
      <w:pPr>
        <w:rPr>
          <w:noProof/>
        </w:rPr>
      </w:pPr>
      <w:r>
        <w:rPr>
          <w:noProof/>
        </w:rPr>
        <w:t>If you think you need to tell your employer, for example in order to obtain leave to</w:t>
      </w:r>
      <w:r w:rsidR="00A00B69">
        <w:rPr>
          <w:noProof/>
        </w:rPr>
        <w:t xml:space="preserve"> </w:t>
      </w:r>
      <w:r>
        <w:rPr>
          <w:noProof/>
        </w:rPr>
        <w:t>enable you to comply with the notice or summons, then you should contact the</w:t>
      </w:r>
      <w:r w:rsidR="00A00B69">
        <w:rPr>
          <w:noProof/>
        </w:rPr>
        <w:t xml:space="preserve"> </w:t>
      </w:r>
      <w:r>
        <w:rPr>
          <w:noProof/>
        </w:rPr>
        <w:t>Commission. We may be able to vary the notation to permit limited disclosure for</w:t>
      </w:r>
      <w:r w:rsidR="00A00B69">
        <w:rPr>
          <w:noProof/>
        </w:rPr>
        <w:t xml:space="preserve"> </w:t>
      </w:r>
      <w:r>
        <w:rPr>
          <w:noProof/>
        </w:rPr>
        <w:t>that purpose, or we may be able to re-arrange the time for compliance in order</w:t>
      </w:r>
      <w:r w:rsidR="00A00B69">
        <w:rPr>
          <w:noProof/>
        </w:rPr>
        <w:t xml:space="preserve"> </w:t>
      </w:r>
      <w:r>
        <w:rPr>
          <w:noProof/>
        </w:rPr>
        <w:t>to avoid any difficulties.</w:t>
      </w:r>
    </w:p>
    <w:p w14:paraId="006738A7" w14:textId="59E50006" w:rsidR="00CC7A3B" w:rsidRDefault="00CC7A3B" w:rsidP="00CC7A3B">
      <w:pPr>
        <w:rPr>
          <w:noProof/>
        </w:rPr>
      </w:pPr>
      <w:r>
        <w:rPr>
          <w:noProof/>
        </w:rPr>
        <w:t>In addition, if you have a disability or vulnerability that could affect your ability to</w:t>
      </w:r>
      <w:r w:rsidR="00A00B69">
        <w:rPr>
          <w:noProof/>
        </w:rPr>
        <w:t xml:space="preserve"> </w:t>
      </w:r>
      <w:r>
        <w:rPr>
          <w:noProof/>
        </w:rPr>
        <w:t>comply with a direction you should also contact the Commission.</w:t>
      </w:r>
    </w:p>
    <w:p w14:paraId="5E3BED52" w14:textId="19E562E8" w:rsidR="00CC7A3B" w:rsidRDefault="00CC7A3B" w:rsidP="00CC7A3B">
      <w:pPr>
        <w:rPr>
          <w:noProof/>
        </w:rPr>
      </w:pPr>
      <w:r>
        <w:rPr>
          <w:noProof/>
        </w:rPr>
        <w:t>The notice, summons or direction will be accompanied by contact details of a</w:t>
      </w:r>
      <w:r w:rsidR="00A00B69">
        <w:rPr>
          <w:noProof/>
        </w:rPr>
        <w:t xml:space="preserve"> </w:t>
      </w:r>
      <w:r>
        <w:rPr>
          <w:noProof/>
        </w:rPr>
        <w:t>Commission officer you can speak to.</w:t>
      </w:r>
    </w:p>
    <w:p w14:paraId="3C0C508A" w14:textId="77777777" w:rsidR="00CC7A3B" w:rsidRDefault="00CC7A3B" w:rsidP="00A00B69">
      <w:pPr>
        <w:pStyle w:val="Heading2"/>
        <w:rPr>
          <w:noProof/>
        </w:rPr>
      </w:pPr>
      <w:r>
        <w:rPr>
          <w:noProof/>
        </w:rPr>
        <w:t>For agency heads</w:t>
      </w:r>
    </w:p>
    <w:p w14:paraId="31747C6F" w14:textId="1A723BC0" w:rsidR="00CC7A3B" w:rsidRDefault="00CC7A3B" w:rsidP="00CC7A3B">
      <w:pPr>
        <w:rPr>
          <w:noProof/>
        </w:rPr>
      </w:pPr>
      <w:r>
        <w:rPr>
          <w:noProof/>
        </w:rPr>
        <w:t>Where it can be done without compromising the integrity of the investigation, the</w:t>
      </w:r>
      <w:r w:rsidR="00A00B69">
        <w:rPr>
          <w:noProof/>
        </w:rPr>
        <w:t xml:space="preserve"> </w:t>
      </w:r>
      <w:r>
        <w:rPr>
          <w:noProof/>
        </w:rPr>
        <w:t>Commission will often, as a matter of courtesy and to mitigate any risk in the</w:t>
      </w:r>
      <w:r w:rsidR="00A00B69">
        <w:rPr>
          <w:noProof/>
        </w:rPr>
        <w:t xml:space="preserve"> </w:t>
      </w:r>
      <w:r>
        <w:rPr>
          <w:noProof/>
        </w:rPr>
        <w:t>agency, inform agency heads if there is an investigation affecting their agency.</w:t>
      </w:r>
      <w:r w:rsidR="00A00B69">
        <w:rPr>
          <w:noProof/>
        </w:rPr>
        <w:t xml:space="preserve"> </w:t>
      </w:r>
      <w:r>
        <w:rPr>
          <w:noProof/>
        </w:rPr>
        <w:t>However, this is not a requirement, nor an invariable practice, and depends on</w:t>
      </w:r>
      <w:r w:rsidR="00A00B69">
        <w:rPr>
          <w:noProof/>
        </w:rPr>
        <w:t xml:space="preserve"> </w:t>
      </w:r>
      <w:r>
        <w:rPr>
          <w:noProof/>
        </w:rPr>
        <w:t>operational considerations.</w:t>
      </w:r>
    </w:p>
    <w:p w14:paraId="697D111E" w14:textId="77777777" w:rsidR="00CF1D6C" w:rsidRDefault="00CC7A3B" w:rsidP="00CC7A3B">
      <w:pPr>
        <w:rPr>
          <w:noProof/>
        </w:rPr>
      </w:pPr>
      <w:r>
        <w:rPr>
          <w:noProof/>
        </w:rPr>
        <w:t>If an agency head is informed of a NACC investigation (including a preliminary</w:t>
      </w:r>
      <w:r w:rsidR="00A00B69">
        <w:rPr>
          <w:noProof/>
        </w:rPr>
        <w:t xml:space="preserve"> </w:t>
      </w:r>
      <w:r>
        <w:rPr>
          <w:noProof/>
        </w:rPr>
        <w:t>investigation), then there is no prohibition on the Agency Head informing the</w:t>
      </w:r>
      <w:r w:rsidR="00A00B69">
        <w:rPr>
          <w:noProof/>
        </w:rPr>
        <w:t xml:space="preserve"> </w:t>
      </w:r>
      <w:r>
        <w:rPr>
          <w:noProof/>
        </w:rPr>
        <w:t>relevant Minister, or the Minister informing the Prime Minister – unless there is a</w:t>
      </w:r>
      <w:r w:rsidR="00A00B69">
        <w:rPr>
          <w:noProof/>
        </w:rPr>
        <w:t xml:space="preserve"> </w:t>
      </w:r>
      <w:r>
        <w:rPr>
          <w:noProof/>
        </w:rPr>
        <w:t>non-disclosure notation or non-disclosure direction.</w:t>
      </w:r>
    </w:p>
    <w:p w14:paraId="26DF6A3F" w14:textId="4D524DBC" w:rsidR="00CC7A3B" w:rsidRDefault="00CC7A3B" w:rsidP="00CC7A3B">
      <w:pPr>
        <w:rPr>
          <w:noProof/>
        </w:rPr>
      </w:pPr>
      <w:r w:rsidRPr="00A00B69">
        <w:rPr>
          <w:b/>
          <w:bCs/>
          <w:noProof/>
        </w:rPr>
        <w:lastRenderedPageBreak/>
        <w:t>If there is a non-disclosure</w:t>
      </w:r>
      <w:r w:rsidR="00A00B69" w:rsidRPr="00A00B69">
        <w:rPr>
          <w:b/>
          <w:bCs/>
          <w:noProof/>
        </w:rPr>
        <w:t xml:space="preserve"> </w:t>
      </w:r>
      <w:r w:rsidRPr="00A00B69">
        <w:rPr>
          <w:b/>
          <w:bCs/>
          <w:noProof/>
        </w:rPr>
        <w:t>notation or direction</w:t>
      </w:r>
      <w:r>
        <w:rPr>
          <w:noProof/>
        </w:rPr>
        <w:t>, then the agency head must comply with it,</w:t>
      </w:r>
      <w:r w:rsidR="00A00B69">
        <w:rPr>
          <w:noProof/>
        </w:rPr>
        <w:t xml:space="preserve"> </w:t>
      </w:r>
      <w:r>
        <w:rPr>
          <w:noProof/>
        </w:rPr>
        <w:t>as explained above.</w:t>
      </w:r>
    </w:p>
    <w:p w14:paraId="4BE74464" w14:textId="4D52CAF7" w:rsidR="00CC7A3B" w:rsidRDefault="00CC7A3B" w:rsidP="00A00B69">
      <w:pPr>
        <w:pStyle w:val="Heading2"/>
        <w:rPr>
          <w:noProof/>
        </w:rPr>
      </w:pPr>
      <w:r>
        <w:rPr>
          <w:noProof/>
        </w:rPr>
        <w:t>Accessing allowances for witness expenses and legal financial</w:t>
      </w:r>
      <w:r w:rsidR="00A00B69">
        <w:rPr>
          <w:noProof/>
        </w:rPr>
        <w:t xml:space="preserve"> </w:t>
      </w:r>
      <w:r>
        <w:rPr>
          <w:noProof/>
        </w:rPr>
        <w:t>assistance</w:t>
      </w:r>
    </w:p>
    <w:p w14:paraId="0237927D" w14:textId="77777777" w:rsidR="00CC7A3B" w:rsidRPr="00A00B69" w:rsidRDefault="00CC7A3B" w:rsidP="00A00B69">
      <w:pPr>
        <w:pStyle w:val="Heading3"/>
      </w:pPr>
      <w:r>
        <w:rPr>
          <w:noProof/>
        </w:rPr>
        <w:t>Witness expenses</w:t>
      </w:r>
    </w:p>
    <w:p w14:paraId="068F6BDD" w14:textId="47D1494E" w:rsidR="00CC7A3B" w:rsidRDefault="00CC7A3B" w:rsidP="00CC7A3B">
      <w:pPr>
        <w:rPr>
          <w:noProof/>
        </w:rPr>
      </w:pPr>
      <w:r>
        <w:rPr>
          <w:noProof/>
        </w:rPr>
        <w:t>Where a witness is required to appear at a hearing, some or all of the travel,</w:t>
      </w:r>
      <w:r w:rsidR="00A00B69">
        <w:rPr>
          <w:noProof/>
        </w:rPr>
        <w:t xml:space="preserve"> </w:t>
      </w:r>
      <w:r>
        <w:rPr>
          <w:noProof/>
        </w:rPr>
        <w:t>accommodation and/or meal arrangements and expenses may be arranged and</w:t>
      </w:r>
      <w:r w:rsidR="00A00B69">
        <w:rPr>
          <w:noProof/>
        </w:rPr>
        <w:t xml:space="preserve"> </w:t>
      </w:r>
      <w:r>
        <w:rPr>
          <w:noProof/>
        </w:rPr>
        <w:t>paid for by the Commission. Where no expenses are arranged and met by the</w:t>
      </w:r>
      <w:r w:rsidR="00A00B69">
        <w:rPr>
          <w:noProof/>
        </w:rPr>
        <w:t xml:space="preserve"> </w:t>
      </w:r>
      <w:r>
        <w:rPr>
          <w:noProof/>
        </w:rPr>
        <w:t>Commission, a witness appearing at a hearing is entitled to be paid an allowance</w:t>
      </w:r>
      <w:r w:rsidR="00A00B69">
        <w:rPr>
          <w:noProof/>
        </w:rPr>
        <w:t xml:space="preserve"> </w:t>
      </w:r>
      <w:r>
        <w:rPr>
          <w:noProof/>
        </w:rPr>
        <w:t>for travel, accommodation and meals. Details of these entitlements can be</w:t>
      </w:r>
      <w:r w:rsidR="00A00B69">
        <w:rPr>
          <w:noProof/>
        </w:rPr>
        <w:t xml:space="preserve"> </w:t>
      </w:r>
      <w:r>
        <w:rPr>
          <w:noProof/>
        </w:rPr>
        <w:t>found in s 93 of the NACC Act and regs 6, 7 and 8 of the National Anti Corruption</w:t>
      </w:r>
      <w:r w:rsidR="00A00B69">
        <w:rPr>
          <w:noProof/>
        </w:rPr>
        <w:t xml:space="preserve"> </w:t>
      </w:r>
      <w:r>
        <w:rPr>
          <w:noProof/>
        </w:rPr>
        <w:t>Commission Regulations 2023 (Regulations).</w:t>
      </w:r>
    </w:p>
    <w:p w14:paraId="3092F7CA" w14:textId="77777777" w:rsidR="00CC7A3B" w:rsidRDefault="00CC7A3B" w:rsidP="00A00B69">
      <w:pPr>
        <w:pStyle w:val="Heading3"/>
        <w:rPr>
          <w:noProof/>
        </w:rPr>
      </w:pPr>
      <w:r>
        <w:rPr>
          <w:noProof/>
        </w:rPr>
        <w:t>Legal financial assistance</w:t>
      </w:r>
    </w:p>
    <w:p w14:paraId="29C8492F" w14:textId="754F9CFE" w:rsidR="00CC7A3B" w:rsidRDefault="00CC7A3B" w:rsidP="00CC7A3B">
      <w:pPr>
        <w:rPr>
          <w:noProof/>
        </w:rPr>
      </w:pPr>
      <w:r>
        <w:rPr>
          <w:noProof/>
        </w:rPr>
        <w:t>Under reg 13 of the Regulations, a person who is summoned to attend a hearing</w:t>
      </w:r>
      <w:r w:rsidR="00A00B69">
        <w:rPr>
          <w:noProof/>
        </w:rPr>
        <w:t xml:space="preserve"> </w:t>
      </w:r>
      <w:r>
        <w:rPr>
          <w:noProof/>
        </w:rPr>
        <w:t>may apply to the Attorney-General for financial assistance in respect of the</w:t>
      </w:r>
      <w:r w:rsidR="00A00B69">
        <w:rPr>
          <w:noProof/>
        </w:rPr>
        <w:t xml:space="preserve"> </w:t>
      </w:r>
      <w:r>
        <w:rPr>
          <w:noProof/>
        </w:rPr>
        <w:t>person’s representation at the hearing by a legal practitioner; and a person who is</w:t>
      </w:r>
      <w:r w:rsidR="00A00B69">
        <w:rPr>
          <w:noProof/>
        </w:rPr>
        <w:t xml:space="preserve"> </w:t>
      </w:r>
      <w:r>
        <w:rPr>
          <w:noProof/>
        </w:rPr>
        <w:t>not giving evidence at a hearing but is being represented at the hearing by a legal</w:t>
      </w:r>
      <w:r w:rsidR="00A00B69">
        <w:rPr>
          <w:noProof/>
        </w:rPr>
        <w:t xml:space="preserve"> </w:t>
      </w:r>
      <w:r>
        <w:rPr>
          <w:noProof/>
        </w:rPr>
        <w:t>practitioner with the consent of the Commissioner, may apply to the Attorney-General for financial assistance in respect of that representation.</w:t>
      </w:r>
    </w:p>
    <w:p w14:paraId="4F59D052" w14:textId="2DEF553E" w:rsidR="00CC7A3B" w:rsidRDefault="00CC7A3B" w:rsidP="00CC7A3B">
      <w:pPr>
        <w:rPr>
          <w:noProof/>
        </w:rPr>
      </w:pPr>
      <w:r>
        <w:rPr>
          <w:noProof/>
        </w:rPr>
        <w:t>The Attorney-General may authorise financial assistance, as and subject to</w:t>
      </w:r>
      <w:r w:rsidR="00A00B69">
        <w:rPr>
          <w:noProof/>
        </w:rPr>
        <w:t xml:space="preserve"> </w:t>
      </w:r>
      <w:r>
        <w:rPr>
          <w:noProof/>
        </w:rPr>
        <w:t>conditions determined by the Attorney-General, if satisfied that refusing the</w:t>
      </w:r>
      <w:r w:rsidR="00A00B69">
        <w:rPr>
          <w:noProof/>
        </w:rPr>
        <w:t xml:space="preserve"> </w:t>
      </w:r>
      <w:r>
        <w:rPr>
          <w:noProof/>
        </w:rPr>
        <w:t>application would result in serious financial difficulty for the person; or the</w:t>
      </w:r>
      <w:r w:rsidR="00A00B69">
        <w:rPr>
          <w:noProof/>
        </w:rPr>
        <w:t xml:space="preserve"> </w:t>
      </w:r>
      <w:r>
        <w:rPr>
          <w:noProof/>
        </w:rPr>
        <w:t>circumstances of the case are of such a special nature that the application</w:t>
      </w:r>
      <w:r w:rsidR="00A00B69">
        <w:rPr>
          <w:noProof/>
        </w:rPr>
        <w:t xml:space="preserve"> </w:t>
      </w:r>
      <w:r>
        <w:rPr>
          <w:noProof/>
        </w:rPr>
        <w:t>should be granted.</w:t>
      </w:r>
    </w:p>
    <w:p w14:paraId="34BEA1D8" w14:textId="48F8A717" w:rsidR="00CC7A3B" w:rsidRDefault="00CC7A3B" w:rsidP="00CC7A3B">
      <w:pPr>
        <w:rPr>
          <w:noProof/>
        </w:rPr>
      </w:pPr>
      <w:r>
        <w:rPr>
          <w:noProof/>
        </w:rPr>
        <w:t>Further information is available on the Attorney-General’s Department website</w:t>
      </w:r>
      <w:r w:rsidR="00A00B69">
        <w:rPr>
          <w:noProof/>
        </w:rPr>
        <w:t xml:space="preserve"> </w:t>
      </w:r>
      <w:r>
        <w:rPr>
          <w:noProof/>
        </w:rPr>
        <w:t xml:space="preserve">about </w:t>
      </w:r>
      <w:hyperlink r:id="rId18" w:history="1">
        <w:r w:rsidRPr="00A00B69">
          <w:rPr>
            <w:rStyle w:val="Hyperlink"/>
            <w:noProof/>
          </w:rPr>
          <w:t>Commonwealth legal financial assistance</w:t>
        </w:r>
      </w:hyperlink>
      <w:r>
        <w:rPr>
          <w:noProof/>
        </w:rPr>
        <w:t xml:space="preserve"> or you can contact Legal</w:t>
      </w:r>
      <w:r w:rsidR="00A00B69">
        <w:rPr>
          <w:noProof/>
        </w:rPr>
        <w:t xml:space="preserve"> </w:t>
      </w:r>
      <w:r>
        <w:rPr>
          <w:noProof/>
        </w:rPr>
        <w:t>Financial Assistance Casework:</w:t>
      </w:r>
    </w:p>
    <w:p w14:paraId="1053B9A8" w14:textId="787E975F" w:rsidR="00CC7A3B" w:rsidRDefault="00CC7A3B" w:rsidP="00A00B69">
      <w:pPr>
        <w:pStyle w:val="ListParagraph"/>
        <w:numPr>
          <w:ilvl w:val="0"/>
          <w:numId w:val="12"/>
        </w:numPr>
        <w:rPr>
          <w:noProof/>
        </w:rPr>
      </w:pPr>
      <w:r>
        <w:rPr>
          <w:noProof/>
        </w:rPr>
        <w:lastRenderedPageBreak/>
        <w:t>Call: 02 6141 4770 or 1800 117 995</w:t>
      </w:r>
    </w:p>
    <w:p w14:paraId="770621DE" w14:textId="7B972FAA" w:rsidR="00CC7A3B" w:rsidRDefault="00CC7A3B" w:rsidP="00A00B69">
      <w:pPr>
        <w:pStyle w:val="ListParagraph"/>
        <w:numPr>
          <w:ilvl w:val="0"/>
          <w:numId w:val="11"/>
        </w:numPr>
        <w:rPr>
          <w:noProof/>
        </w:rPr>
      </w:pPr>
      <w:r>
        <w:rPr>
          <w:noProof/>
        </w:rPr>
        <w:t xml:space="preserve">Email: </w:t>
      </w:r>
      <w:hyperlink r:id="rId19" w:history="1">
        <w:r w:rsidRPr="00A00B69">
          <w:rPr>
            <w:rStyle w:val="Hyperlink"/>
            <w:noProof/>
          </w:rPr>
          <w:t>finass@ag.gov.au</w:t>
        </w:r>
      </w:hyperlink>
    </w:p>
    <w:p w14:paraId="414E388F" w14:textId="77777777" w:rsidR="00CC7A3B" w:rsidRDefault="00CC7A3B" w:rsidP="00A00B69">
      <w:pPr>
        <w:pStyle w:val="Heading2"/>
        <w:rPr>
          <w:noProof/>
        </w:rPr>
      </w:pPr>
      <w:r>
        <w:rPr>
          <w:noProof/>
        </w:rPr>
        <w:t>Medical or mental health support</w:t>
      </w:r>
    </w:p>
    <w:p w14:paraId="412C66B2" w14:textId="2D47A7B1" w:rsidR="00CC7A3B" w:rsidRDefault="00CC7A3B" w:rsidP="00CC7A3B">
      <w:pPr>
        <w:rPr>
          <w:noProof/>
        </w:rPr>
      </w:pPr>
      <w:r>
        <w:rPr>
          <w:noProof/>
        </w:rPr>
        <w:t>There are no special provisions for seeking health support, including mental</w:t>
      </w:r>
      <w:r w:rsidR="00A00B69">
        <w:rPr>
          <w:noProof/>
        </w:rPr>
        <w:t xml:space="preserve"> </w:t>
      </w:r>
      <w:r>
        <w:rPr>
          <w:noProof/>
        </w:rPr>
        <w:t>health support, but you can access your organisation’s ordinary support</w:t>
      </w:r>
      <w:r w:rsidR="00A00B69">
        <w:rPr>
          <w:noProof/>
        </w:rPr>
        <w:t xml:space="preserve"> </w:t>
      </w:r>
      <w:r>
        <w:rPr>
          <w:noProof/>
        </w:rPr>
        <w:t>arrangements, including Employee Assistance Plan. As indicated above, a</w:t>
      </w:r>
      <w:r w:rsidR="00A00B69">
        <w:rPr>
          <w:noProof/>
        </w:rPr>
        <w:t xml:space="preserve"> </w:t>
      </w:r>
      <w:r>
        <w:rPr>
          <w:noProof/>
        </w:rPr>
        <w:t>non-disclosure notation or direction does not prohibit disclosure to a health</w:t>
      </w:r>
      <w:r w:rsidR="00A00B69">
        <w:rPr>
          <w:noProof/>
        </w:rPr>
        <w:t xml:space="preserve"> </w:t>
      </w:r>
      <w:r>
        <w:rPr>
          <w:noProof/>
        </w:rPr>
        <w:t>worker for the purpose of obtaining medical or psychological assistance,</w:t>
      </w:r>
      <w:r w:rsidR="00A00B69">
        <w:rPr>
          <w:noProof/>
        </w:rPr>
        <w:t xml:space="preserve"> </w:t>
      </w:r>
      <w:r>
        <w:rPr>
          <w:noProof/>
        </w:rPr>
        <w:t>including counselling.</w:t>
      </w:r>
    </w:p>
    <w:p w14:paraId="5F6C86B7" w14:textId="77777777" w:rsidR="00CC7A3B" w:rsidRDefault="00CC7A3B" w:rsidP="004746F1">
      <w:pPr>
        <w:pStyle w:val="Heading2"/>
        <w:rPr>
          <w:noProof/>
        </w:rPr>
      </w:pPr>
      <w:r>
        <w:rPr>
          <w:noProof/>
        </w:rPr>
        <w:t>Further information</w:t>
      </w:r>
    </w:p>
    <w:p w14:paraId="61790254" w14:textId="3217FDFB" w:rsidR="00CC7A3B" w:rsidRDefault="00CC7A3B" w:rsidP="004746F1">
      <w:pPr>
        <w:pStyle w:val="ListParagraph"/>
        <w:numPr>
          <w:ilvl w:val="0"/>
          <w:numId w:val="13"/>
        </w:numPr>
        <w:rPr>
          <w:noProof/>
        </w:rPr>
      </w:pPr>
      <w:r w:rsidRPr="004746F1">
        <w:rPr>
          <w:i/>
          <w:iCs/>
          <w:noProof/>
        </w:rPr>
        <w:t>National Anti-Corruption Commission Act 2022</w:t>
      </w:r>
      <w:r>
        <w:rPr>
          <w:noProof/>
        </w:rPr>
        <w:t xml:space="preserve"> (Cth), ss 93, 95, 98, 100, 101.</w:t>
      </w:r>
    </w:p>
    <w:p w14:paraId="67CB7A5A" w14:textId="128325CC" w:rsidR="00CF1D6C" w:rsidRDefault="00CC7A3B" w:rsidP="00CF1D6C">
      <w:pPr>
        <w:pStyle w:val="ListParagraph"/>
        <w:numPr>
          <w:ilvl w:val="0"/>
          <w:numId w:val="13"/>
        </w:numPr>
        <w:rPr>
          <w:noProof/>
        </w:rPr>
      </w:pPr>
      <w:r>
        <w:rPr>
          <w:noProof/>
        </w:rPr>
        <w:t>National Anti Corruption Commission Regulations 2023, ss 6, 7, 8, 13, 14, 15.</w:t>
      </w:r>
      <w:r w:rsidR="00CF1D6C">
        <w:rPr>
          <w:noProof/>
        </w:rPr>
        <w:br w:type="page"/>
      </w:r>
    </w:p>
    <w:p w14:paraId="064FEA28" w14:textId="77777777" w:rsidR="00CA400A" w:rsidRDefault="00CA400A" w:rsidP="00CA400A">
      <w:pPr>
        <w:pStyle w:val="Heading2"/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</w:rPr>
      </w:pPr>
      <w:r>
        <w:rPr>
          <w:noProof/>
        </w:rPr>
        <w:lastRenderedPageBreak/>
        <w:t>Contact us</w:t>
      </w:r>
    </w:p>
    <w:p w14:paraId="42D6C1CB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To make a report or general enquiry please call us on </w:t>
      </w:r>
      <w:r w:rsidRPr="008060D6">
        <w:rPr>
          <w:b/>
          <w:bCs/>
          <w:noProof/>
          <w:color w:val="2F3A48" w:themeColor="accent6"/>
        </w:rPr>
        <w:t>1300 489 844</w:t>
      </w:r>
      <w:r w:rsidRPr="008060D6">
        <w:rPr>
          <w:noProof/>
          <w:color w:val="2F3A48" w:themeColor="accent6"/>
        </w:rPr>
        <w:t>.</w:t>
      </w:r>
    </w:p>
    <w:p w14:paraId="43D56A9A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For non-English, dial </w:t>
      </w:r>
      <w:r w:rsidRPr="008060D6">
        <w:rPr>
          <w:b/>
          <w:bCs/>
          <w:noProof/>
          <w:color w:val="2F3A48" w:themeColor="accent6"/>
        </w:rPr>
        <w:t>131 450</w:t>
      </w:r>
      <w:r w:rsidRPr="008060D6">
        <w:rPr>
          <w:noProof/>
          <w:color w:val="2F3A48" w:themeColor="accent6"/>
        </w:rPr>
        <w:t xml:space="preserve"> for the Translating and Interpreting Service.</w:t>
      </w:r>
    </w:p>
    <w:p w14:paraId="6D677853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For the deaf or hard of hearing, dial </w:t>
      </w:r>
      <w:r w:rsidRPr="008060D6">
        <w:rPr>
          <w:b/>
          <w:bCs/>
          <w:noProof/>
          <w:color w:val="2F3A48" w:themeColor="accent6"/>
        </w:rPr>
        <w:t>133 677</w:t>
      </w:r>
      <w:r w:rsidRPr="008060D6">
        <w:rPr>
          <w:noProof/>
          <w:color w:val="2F3A48" w:themeColor="accent6"/>
        </w:rPr>
        <w:t xml:space="preserve"> for the National Relay Service and request to connect to </w:t>
      </w:r>
      <w:r w:rsidRPr="008060D6">
        <w:rPr>
          <w:b/>
          <w:bCs/>
          <w:noProof/>
          <w:color w:val="2F3A48" w:themeColor="accent6"/>
        </w:rPr>
        <w:t>1300 489 844</w:t>
      </w:r>
      <w:r w:rsidRPr="008060D6">
        <w:rPr>
          <w:noProof/>
          <w:color w:val="2F3A48" w:themeColor="accent6"/>
        </w:rPr>
        <w:t>.</w:t>
      </w:r>
    </w:p>
    <w:p w14:paraId="357FF4F3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noProof/>
          <w:color w:val="2F3A48" w:themeColor="accent6"/>
        </w:rPr>
      </w:pPr>
      <w:r w:rsidRPr="008060D6">
        <w:rPr>
          <w:noProof/>
          <w:color w:val="2F3A48" w:themeColor="accent6"/>
        </w:rPr>
        <w:t xml:space="preserve">Visit our website or complete the online reporting form at </w:t>
      </w:r>
      <w:hyperlink r:id="rId20" w:history="1">
        <w:r w:rsidRPr="008060D6">
          <w:rPr>
            <w:rStyle w:val="Hyperlink"/>
            <w:color w:val="2F3A48" w:themeColor="accent6"/>
          </w:rPr>
          <w:t>nacc.gov.au</w:t>
        </w:r>
      </w:hyperlink>
    </w:p>
    <w:p w14:paraId="08E4DE3B" w14:textId="77777777" w:rsidR="00CA400A" w:rsidRPr="008060D6" w:rsidRDefault="00CA400A" w:rsidP="00CA400A">
      <w:pPr>
        <w:pBdr>
          <w:top w:val="single" w:sz="48" w:space="12" w:color="F1F4FA" w:themeColor="background2"/>
          <w:left w:val="single" w:sz="48" w:space="12" w:color="F1F4FA" w:themeColor="background2"/>
          <w:bottom w:val="single" w:sz="48" w:space="12" w:color="F1F4FA" w:themeColor="background2"/>
          <w:right w:val="single" w:sz="48" w:space="12" w:color="F1F4FA" w:themeColor="background2"/>
        </w:pBdr>
        <w:shd w:val="clear" w:color="auto" w:fill="F1F4FA" w:themeFill="background2"/>
        <w:rPr>
          <w:color w:val="2F3A48" w:themeColor="accent6"/>
        </w:rPr>
      </w:pPr>
      <w:r w:rsidRPr="008060D6">
        <w:rPr>
          <w:noProof/>
          <w:color w:val="2F3A48" w:themeColor="accent6"/>
        </w:rPr>
        <w:t xml:space="preserve">Write to us at </w:t>
      </w:r>
      <w:r w:rsidRPr="008060D6">
        <w:rPr>
          <w:color w:val="2F3A48" w:themeColor="accent6"/>
        </w:rPr>
        <w:t>GPO Box 605, Canberra ACT 2601</w:t>
      </w:r>
    </w:p>
    <w:p w14:paraId="29FF31DC" w14:textId="77777777" w:rsidR="006C7239" w:rsidRDefault="006C7239" w:rsidP="0001178B">
      <w:pPr>
        <w:rPr>
          <w:noProof/>
        </w:rPr>
      </w:pPr>
      <w:r>
        <w:rPr>
          <w:noProof/>
        </w:rPr>
        <w:t>Last updated: June 2024</w:t>
      </w:r>
    </w:p>
    <w:p w14:paraId="77248254" w14:textId="2D32D1B7" w:rsidR="006C7239" w:rsidRDefault="006C7239" w:rsidP="006C7239">
      <w:pPr>
        <w:rPr>
          <w:noProof/>
        </w:rPr>
      </w:pPr>
      <w:r>
        <w:rPr>
          <w:noProof/>
        </w:rPr>
        <w:t>© Commonwealth of</w:t>
      </w:r>
      <w:r w:rsidR="00736E8C">
        <w:rPr>
          <w:noProof/>
        </w:rPr>
        <w:t xml:space="preserve"> </w:t>
      </w:r>
      <w:r>
        <w:rPr>
          <w:noProof/>
        </w:rPr>
        <w:t>Australia 2024</w:t>
      </w:r>
    </w:p>
    <w:sectPr w:rsidR="006C7239" w:rsidSect="00812350"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0F82" w14:textId="77777777" w:rsidR="00B4592A" w:rsidRDefault="00B4592A" w:rsidP="00B4592A">
      <w:pPr>
        <w:spacing w:before="0" w:after="0" w:line="240" w:lineRule="auto"/>
      </w:pPr>
      <w:r>
        <w:separator/>
      </w:r>
    </w:p>
  </w:endnote>
  <w:endnote w:type="continuationSeparator" w:id="0">
    <w:p w14:paraId="29C7FFB3" w14:textId="77777777" w:rsidR="00B4592A" w:rsidRDefault="00B4592A" w:rsidP="00B4592A">
      <w:pPr>
        <w:spacing w:before="0" w:after="0" w:line="240" w:lineRule="auto"/>
      </w:pPr>
      <w:r>
        <w:continuationSeparator/>
      </w:r>
    </w:p>
  </w:endnote>
  <w:endnote w:type="continuationNotice" w:id="1">
    <w:p w14:paraId="0E64B79F" w14:textId="77777777" w:rsidR="001E7CDA" w:rsidRDefault="001E7C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6049" w14:textId="5266BA91" w:rsidR="00B4592A" w:rsidRDefault="008A25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A101EB9" wp14:editId="52E149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662242409" name="Text Box 1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339E2" w14:textId="7E608716" w:rsidR="008A25FF" w:rsidRPr="008A25FF" w:rsidRDefault="008A25FF" w:rsidP="008A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A25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01EB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D339E2" w14:textId="7E608716" w:rsidR="008A25FF" w:rsidRPr="008A25FF" w:rsidRDefault="008A25FF" w:rsidP="008A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A25F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38C5" w14:textId="5E27E8FC" w:rsidR="00B4592A" w:rsidRPr="00812350" w:rsidRDefault="008A25FF" w:rsidP="00812350">
    <w:pPr>
      <w:pStyle w:val="Footer"/>
      <w:pBdr>
        <w:top w:val="single" w:sz="4" w:space="8" w:color="54C6D3" w:themeColor="accent1"/>
      </w:pBdr>
      <w:tabs>
        <w:tab w:val="clear" w:pos="4513"/>
      </w:tabs>
      <w:spacing w:after="240"/>
      <w:contextualSpacing/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DB30D31" wp14:editId="0C1C05A2">
              <wp:simplePos x="914400" y="98029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82196997" name="Text Box 2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2E4D62" w14:textId="535B95C5" w:rsidR="008A25FF" w:rsidRPr="008A25FF" w:rsidRDefault="008A25FF" w:rsidP="008A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A25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30D3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82E4D62" w14:textId="535B95C5" w:rsidR="008A25FF" w:rsidRPr="008A25FF" w:rsidRDefault="008A25FF" w:rsidP="008A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A25F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719" w:rsidRPr="0001178B">
      <w:rPr>
        <w:b/>
        <w:bCs/>
        <w:noProof/>
      </w:rPr>
      <w:fldChar w:fldCharType="begin"/>
    </w:r>
    <w:r w:rsidR="00EB4719" w:rsidRPr="0001178B">
      <w:rPr>
        <w:b/>
        <w:bCs/>
        <w:noProof/>
      </w:rPr>
      <w:instrText xml:space="preserve"> PAGE   \* MERGEFORMAT </w:instrText>
    </w:r>
    <w:r w:rsidR="00EB4719" w:rsidRPr="0001178B">
      <w:rPr>
        <w:b/>
        <w:bCs/>
        <w:noProof/>
      </w:rPr>
      <w:fldChar w:fldCharType="separate"/>
    </w:r>
    <w:r w:rsidR="00EB4719" w:rsidRPr="0001178B">
      <w:rPr>
        <w:b/>
        <w:bCs/>
        <w:noProof/>
      </w:rPr>
      <w:t>2</w:t>
    </w:r>
    <w:r w:rsidR="00EB4719" w:rsidRPr="0001178B">
      <w:rPr>
        <w:b/>
        <w:bCs/>
        <w:noProof/>
      </w:rPr>
      <w:fldChar w:fldCharType="end"/>
    </w:r>
    <w:r w:rsidR="000C56B3" w:rsidRPr="0001178B">
      <w:rPr>
        <w:noProof/>
      </w:rPr>
      <w:tab/>
    </w:r>
    <w:r w:rsidR="00812350">
      <w:t>Information for persons interacting with the NACC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1E62" w14:textId="7D819CEB" w:rsidR="00B4592A" w:rsidRPr="003F72B5" w:rsidRDefault="008A25FF" w:rsidP="003F72B5">
    <w:pPr>
      <w:pStyle w:val="Footer"/>
      <w:pBdr>
        <w:top w:val="single" w:sz="4" w:space="8" w:color="54C6D3" w:themeColor="accent1"/>
      </w:pBdr>
      <w:tabs>
        <w:tab w:val="clear" w:pos="4513"/>
      </w:tabs>
      <w:contextualSpacing/>
      <w:rPr>
        <w:noProof/>
        <w:color w:val="2787D5" w:themeColor="text1" w:themeTint="BF"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06DF1F5" wp14:editId="3A05F337">
              <wp:simplePos x="914400" y="980290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98816638" name="Text Box 1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F0D3F" w14:textId="3FCBF62A" w:rsidR="008A25FF" w:rsidRPr="008A25FF" w:rsidRDefault="008A25FF" w:rsidP="008A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A25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DF1F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alt="OFFICIAL 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9F0D3F" w14:textId="3FCBF62A" w:rsidR="008A25FF" w:rsidRPr="008A25FF" w:rsidRDefault="008A25FF" w:rsidP="008A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A25F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72B5" w:rsidRPr="0001178B">
      <w:rPr>
        <w:b/>
        <w:bCs/>
        <w:noProof/>
      </w:rPr>
      <w:fldChar w:fldCharType="begin"/>
    </w:r>
    <w:r w:rsidR="003F72B5" w:rsidRPr="0001178B">
      <w:rPr>
        <w:b/>
        <w:bCs/>
        <w:noProof/>
      </w:rPr>
      <w:instrText xml:space="preserve"> PAGE   \* MERGEFORMAT </w:instrText>
    </w:r>
    <w:r w:rsidR="003F72B5" w:rsidRPr="0001178B">
      <w:rPr>
        <w:b/>
        <w:bCs/>
        <w:noProof/>
      </w:rPr>
      <w:fldChar w:fldCharType="separate"/>
    </w:r>
    <w:r w:rsidR="003F72B5">
      <w:rPr>
        <w:b/>
        <w:bCs/>
        <w:noProof/>
      </w:rPr>
      <w:t>2</w:t>
    </w:r>
    <w:r w:rsidR="003F72B5" w:rsidRPr="0001178B">
      <w:rPr>
        <w:b/>
        <w:bCs/>
        <w:noProof/>
      </w:rPr>
      <w:fldChar w:fldCharType="end"/>
    </w:r>
    <w:r w:rsidR="003F72B5" w:rsidRPr="0001178B">
      <w:rPr>
        <w:noProof/>
      </w:rPr>
      <w:tab/>
    </w:r>
    <w:hyperlink r:id="rId1" w:history="1">
      <w:r w:rsidR="003F72B5" w:rsidRPr="000C56B3">
        <w:rPr>
          <w:rStyle w:val="Hyperlink"/>
          <w:b/>
          <w:bCs/>
          <w:noProof/>
          <w:color w:val="auto"/>
          <w:u w:val="none"/>
        </w:rPr>
        <w:t>nacc</w:t>
      </w:r>
      <w:r w:rsidR="003F72B5" w:rsidRPr="000C56B3">
        <w:rPr>
          <w:rStyle w:val="Hyperlink"/>
          <w:noProof/>
          <w:color w:val="auto"/>
          <w:u w:val="none"/>
        </w:rPr>
        <w:t>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4CC0D" w14:textId="77777777" w:rsidR="00B4592A" w:rsidRDefault="00B4592A" w:rsidP="00B4592A">
      <w:pPr>
        <w:spacing w:before="0" w:after="0" w:line="240" w:lineRule="auto"/>
      </w:pPr>
      <w:r>
        <w:separator/>
      </w:r>
    </w:p>
  </w:footnote>
  <w:footnote w:type="continuationSeparator" w:id="0">
    <w:p w14:paraId="2B3682BD" w14:textId="77777777" w:rsidR="00B4592A" w:rsidRDefault="00B4592A" w:rsidP="00B4592A">
      <w:pPr>
        <w:spacing w:before="0" w:after="0" w:line="240" w:lineRule="auto"/>
      </w:pPr>
      <w:r>
        <w:continuationSeparator/>
      </w:r>
    </w:p>
  </w:footnote>
  <w:footnote w:type="continuationNotice" w:id="1">
    <w:p w14:paraId="3DCDC068" w14:textId="77777777" w:rsidR="001E7CDA" w:rsidRDefault="001E7CD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FEF3E" w14:textId="58030880" w:rsidR="00B4592A" w:rsidRDefault="008A25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769F91C" wp14:editId="0AFDCA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985"/>
              <wp:wrapNone/>
              <wp:docPr id="139135365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9E164" w14:textId="6C988D05" w:rsidR="008A25FF" w:rsidRPr="008A25FF" w:rsidRDefault="008A25FF" w:rsidP="008A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A25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9F91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889E164" w14:textId="6C988D05" w:rsidR="008A25FF" w:rsidRPr="008A25FF" w:rsidRDefault="008A25FF" w:rsidP="008A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A25F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953C" w14:textId="075CFF0D" w:rsidR="00B4592A" w:rsidRDefault="008A25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5B139B1" wp14:editId="70DEE409">
              <wp:simplePos x="914400" y="44375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985"/>
              <wp:wrapNone/>
              <wp:docPr id="508811275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F0D8D" w14:textId="5227A79F" w:rsidR="008A25FF" w:rsidRPr="008A25FF" w:rsidRDefault="008A25FF" w:rsidP="008A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A25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139B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22F0D8D" w14:textId="5227A79F" w:rsidR="008A25FF" w:rsidRPr="008A25FF" w:rsidRDefault="008A25FF" w:rsidP="008A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A25F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4653" w14:textId="39B7658C" w:rsidR="00B4592A" w:rsidRDefault="008A25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BF7404" wp14:editId="39F63C40">
              <wp:simplePos x="914400" y="28238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6985"/>
              <wp:wrapNone/>
              <wp:docPr id="1655944227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D0F38" w14:textId="7D8DC03D" w:rsidR="008A25FF" w:rsidRPr="008A25FF" w:rsidRDefault="008A25FF" w:rsidP="008A25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A25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F740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B8D0F38" w14:textId="7D8DC03D" w:rsidR="008A25FF" w:rsidRPr="008A25FF" w:rsidRDefault="008A25FF" w:rsidP="008A25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A25FF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5FF8"/>
    <w:multiLevelType w:val="hybridMultilevel"/>
    <w:tmpl w:val="028295FA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95D"/>
    <w:multiLevelType w:val="hybridMultilevel"/>
    <w:tmpl w:val="BD2CC6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32689"/>
    <w:multiLevelType w:val="hybridMultilevel"/>
    <w:tmpl w:val="4420DDE2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40578"/>
    <w:multiLevelType w:val="hybridMultilevel"/>
    <w:tmpl w:val="D4404B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625B4"/>
    <w:multiLevelType w:val="hybridMultilevel"/>
    <w:tmpl w:val="35986916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D5087"/>
    <w:multiLevelType w:val="hybridMultilevel"/>
    <w:tmpl w:val="37447BCA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20563"/>
    <w:multiLevelType w:val="hybridMultilevel"/>
    <w:tmpl w:val="C9DCA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3484C"/>
    <w:multiLevelType w:val="hybridMultilevel"/>
    <w:tmpl w:val="BD0E3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56203"/>
    <w:multiLevelType w:val="hybridMultilevel"/>
    <w:tmpl w:val="C7B61234"/>
    <w:lvl w:ilvl="0" w:tplc="118C6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46AC5"/>
    <w:multiLevelType w:val="hybridMultilevel"/>
    <w:tmpl w:val="91CA91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E2CE2"/>
    <w:multiLevelType w:val="hybridMultilevel"/>
    <w:tmpl w:val="277289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C8245F"/>
    <w:multiLevelType w:val="hybridMultilevel"/>
    <w:tmpl w:val="6CBA7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D6155D"/>
    <w:multiLevelType w:val="hybridMultilevel"/>
    <w:tmpl w:val="79D2FA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2827203">
    <w:abstractNumId w:val="4"/>
  </w:num>
  <w:num w:numId="2" w16cid:durableId="213200148">
    <w:abstractNumId w:val="1"/>
  </w:num>
  <w:num w:numId="3" w16cid:durableId="876158351">
    <w:abstractNumId w:val="3"/>
  </w:num>
  <w:num w:numId="4" w16cid:durableId="2036998010">
    <w:abstractNumId w:val="8"/>
  </w:num>
  <w:num w:numId="5" w16cid:durableId="2104447144">
    <w:abstractNumId w:val="2"/>
  </w:num>
  <w:num w:numId="6" w16cid:durableId="1409309371">
    <w:abstractNumId w:val="0"/>
  </w:num>
  <w:num w:numId="7" w16cid:durableId="794563145">
    <w:abstractNumId w:val="5"/>
  </w:num>
  <w:num w:numId="8" w16cid:durableId="1064454643">
    <w:abstractNumId w:val="6"/>
  </w:num>
  <w:num w:numId="9" w16cid:durableId="1276672951">
    <w:abstractNumId w:val="10"/>
  </w:num>
  <w:num w:numId="10" w16cid:durableId="694965803">
    <w:abstractNumId w:val="11"/>
  </w:num>
  <w:num w:numId="11" w16cid:durableId="565602909">
    <w:abstractNumId w:val="9"/>
  </w:num>
  <w:num w:numId="12" w16cid:durableId="162665053">
    <w:abstractNumId w:val="7"/>
  </w:num>
  <w:num w:numId="13" w16cid:durableId="9728319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2A"/>
    <w:rsid w:val="0001178B"/>
    <w:rsid w:val="00080994"/>
    <w:rsid w:val="000C56B3"/>
    <w:rsid w:val="00171EC4"/>
    <w:rsid w:val="001A44B8"/>
    <w:rsid w:val="001E7CDA"/>
    <w:rsid w:val="00221C3B"/>
    <w:rsid w:val="00283308"/>
    <w:rsid w:val="00305F9B"/>
    <w:rsid w:val="003F72B5"/>
    <w:rsid w:val="004746F1"/>
    <w:rsid w:val="005F4104"/>
    <w:rsid w:val="006177AC"/>
    <w:rsid w:val="006C7239"/>
    <w:rsid w:val="006E2294"/>
    <w:rsid w:val="00736E8C"/>
    <w:rsid w:val="00812350"/>
    <w:rsid w:val="00887067"/>
    <w:rsid w:val="008A25FF"/>
    <w:rsid w:val="008D47DA"/>
    <w:rsid w:val="00920ED9"/>
    <w:rsid w:val="00A00B69"/>
    <w:rsid w:val="00A8514B"/>
    <w:rsid w:val="00AA6D18"/>
    <w:rsid w:val="00B4592A"/>
    <w:rsid w:val="00C747D8"/>
    <w:rsid w:val="00C80649"/>
    <w:rsid w:val="00CA400A"/>
    <w:rsid w:val="00CC7A3B"/>
    <w:rsid w:val="00CD082F"/>
    <w:rsid w:val="00CF1D6C"/>
    <w:rsid w:val="00D32CDB"/>
    <w:rsid w:val="00EB4719"/>
    <w:rsid w:val="00EC74FF"/>
    <w:rsid w:val="00ED56FD"/>
    <w:rsid w:val="00F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278155"/>
  <w15:chartTrackingRefBased/>
  <w15:docId w15:val="{7202BDBB-8118-483A-B4AC-E00D8DD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ajorBidi"/>
        <w:kern w:val="2"/>
        <w:sz w:val="24"/>
        <w:szCs w:val="40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B3"/>
    <w:pPr>
      <w:spacing w:before="240" w:after="24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400A"/>
    <w:pPr>
      <w:keepNext/>
      <w:keepLines/>
      <w:spacing w:before="360" w:line="240" w:lineRule="auto"/>
      <w:outlineLvl w:val="0"/>
    </w:pPr>
    <w:rPr>
      <w:rFonts w:ascii="Work Sans SemiBold" w:eastAsiaTheme="majorEastAsia" w:hAnsi="Work Sans SemiBold"/>
      <w:color w:val="FFFFFF"/>
      <w:sz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239"/>
    <w:pPr>
      <w:keepNext/>
      <w:keepLines/>
      <w:spacing w:before="360"/>
      <w:outlineLvl w:val="1"/>
    </w:pPr>
    <w:rPr>
      <w:rFonts w:ascii="Work Sans SemiBold" w:eastAsiaTheme="majorEastAsia" w:hAnsi="Work Sans SemiBold"/>
      <w:color w:val="1A5A8D" w:themeColor="accent3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D6C"/>
    <w:pPr>
      <w:keepNext/>
      <w:keepLines/>
      <w:outlineLvl w:val="2"/>
    </w:pPr>
    <w:rPr>
      <w:rFonts w:ascii="Work Sans SemiBold" w:eastAsiaTheme="majorEastAsia" w:hAnsi="Work Sans SemiBold"/>
      <w:color w:val="2F3A48" w:themeColor="accent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92A"/>
    <w:pPr>
      <w:keepNext/>
      <w:keepLines/>
      <w:spacing w:before="80" w:after="40"/>
      <w:outlineLvl w:val="3"/>
    </w:pPr>
    <w:rPr>
      <w:rFonts w:eastAsiaTheme="majorEastAsia"/>
      <w:i/>
      <w:iCs/>
      <w:color w:val="2DA1A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92A"/>
    <w:pPr>
      <w:keepNext/>
      <w:keepLines/>
      <w:spacing w:before="80" w:after="40"/>
      <w:outlineLvl w:val="4"/>
    </w:pPr>
    <w:rPr>
      <w:rFonts w:eastAsiaTheme="majorEastAsia"/>
      <w:color w:val="2DA1A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92A"/>
    <w:pPr>
      <w:keepNext/>
      <w:keepLines/>
      <w:spacing w:before="40" w:after="0"/>
      <w:outlineLvl w:val="5"/>
    </w:pPr>
    <w:rPr>
      <w:rFonts w:eastAsiaTheme="majorEastAsia"/>
      <w:i/>
      <w:iCs/>
      <w:color w:val="4297D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92A"/>
    <w:pPr>
      <w:keepNext/>
      <w:keepLines/>
      <w:spacing w:before="40" w:after="0"/>
      <w:outlineLvl w:val="6"/>
    </w:pPr>
    <w:rPr>
      <w:rFonts w:eastAsiaTheme="majorEastAsia"/>
      <w:color w:val="4297D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92A"/>
    <w:pPr>
      <w:keepNext/>
      <w:keepLines/>
      <w:spacing w:after="0"/>
      <w:outlineLvl w:val="7"/>
    </w:pPr>
    <w:rPr>
      <w:rFonts w:eastAsiaTheme="majorEastAsia"/>
      <w:i/>
      <w:iCs/>
      <w:color w:val="2275B9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92A"/>
    <w:pPr>
      <w:keepNext/>
      <w:keepLines/>
      <w:spacing w:after="0"/>
      <w:outlineLvl w:val="8"/>
    </w:pPr>
    <w:rPr>
      <w:rFonts w:eastAsiaTheme="majorEastAsia"/>
      <w:color w:val="2275B9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00A"/>
    <w:rPr>
      <w:rFonts w:ascii="Work Sans SemiBold" w:eastAsiaTheme="majorEastAsia" w:hAnsi="Work Sans SemiBold"/>
      <w:color w:val="FFFFFF"/>
      <w:sz w:val="80"/>
    </w:rPr>
  </w:style>
  <w:style w:type="character" w:customStyle="1" w:styleId="Heading2Char">
    <w:name w:val="Heading 2 Char"/>
    <w:basedOn w:val="DefaultParagraphFont"/>
    <w:link w:val="Heading2"/>
    <w:uiPriority w:val="9"/>
    <w:rsid w:val="006C7239"/>
    <w:rPr>
      <w:rFonts w:ascii="Work Sans SemiBold" w:eastAsiaTheme="majorEastAsia" w:hAnsi="Work Sans SemiBold"/>
      <w:color w:val="1A5A8D" w:themeColor="accent3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1D6C"/>
    <w:rPr>
      <w:rFonts w:ascii="Work Sans SemiBold" w:eastAsiaTheme="majorEastAsia" w:hAnsi="Work Sans SemiBold"/>
      <w:color w:val="2F3A48" w:themeColor="accent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92A"/>
    <w:rPr>
      <w:rFonts w:eastAsiaTheme="majorEastAsia" w:cstheme="majorBidi"/>
      <w:i/>
      <w:iCs/>
      <w:color w:val="2DA1A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92A"/>
    <w:rPr>
      <w:rFonts w:eastAsiaTheme="majorEastAsia" w:cstheme="majorBidi"/>
      <w:color w:val="2DA1A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92A"/>
    <w:rPr>
      <w:rFonts w:eastAsiaTheme="majorEastAsia" w:cstheme="majorBidi"/>
      <w:i/>
      <w:iCs/>
      <w:color w:val="4297D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92A"/>
    <w:rPr>
      <w:rFonts w:eastAsiaTheme="majorEastAsia" w:cstheme="majorBidi"/>
      <w:color w:val="4297D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92A"/>
    <w:rPr>
      <w:rFonts w:eastAsiaTheme="majorEastAsia" w:cstheme="majorBidi"/>
      <w:i/>
      <w:iCs/>
      <w:color w:val="2275B9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92A"/>
    <w:rPr>
      <w:rFonts w:eastAsiaTheme="majorEastAsia" w:cstheme="majorBidi"/>
      <w:color w:val="2275B9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92A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A"/>
    <w:pPr>
      <w:numPr>
        <w:ilvl w:val="1"/>
      </w:numPr>
    </w:pPr>
    <w:rPr>
      <w:rFonts w:eastAsiaTheme="majorEastAsia"/>
      <w:color w:val="4297D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92A"/>
    <w:rPr>
      <w:rFonts w:eastAsiaTheme="majorEastAsia" w:cstheme="majorBidi"/>
      <w:color w:val="4297D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92A"/>
    <w:pPr>
      <w:spacing w:before="160"/>
      <w:jc w:val="center"/>
    </w:pPr>
    <w:rPr>
      <w:i/>
      <w:iCs/>
      <w:color w:val="2787D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92A"/>
    <w:rPr>
      <w:i/>
      <w:iCs/>
      <w:color w:val="2787D5" w:themeColor="text1" w:themeTint="BF"/>
    </w:rPr>
  </w:style>
  <w:style w:type="paragraph" w:styleId="ListParagraph">
    <w:name w:val="List Paragraph"/>
    <w:basedOn w:val="Normal"/>
    <w:uiPriority w:val="34"/>
    <w:qFormat/>
    <w:rsid w:val="00A00B69"/>
  </w:style>
  <w:style w:type="character" w:styleId="IntenseEmphasis">
    <w:name w:val="Intense Emphasis"/>
    <w:basedOn w:val="DefaultParagraphFont"/>
    <w:uiPriority w:val="21"/>
    <w:qFormat/>
    <w:rsid w:val="00B4592A"/>
    <w:rPr>
      <w:i/>
      <w:iCs/>
      <w:color w:val="2DA1A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A"/>
    <w:pPr>
      <w:pBdr>
        <w:top w:val="single" w:sz="4" w:space="10" w:color="2DA1AF" w:themeColor="accent1" w:themeShade="BF"/>
        <w:bottom w:val="single" w:sz="4" w:space="10" w:color="2DA1AF" w:themeColor="accent1" w:themeShade="BF"/>
      </w:pBdr>
      <w:spacing w:before="360" w:after="360"/>
      <w:ind w:left="864" w:right="864"/>
      <w:jc w:val="center"/>
    </w:pPr>
    <w:rPr>
      <w:i/>
      <w:iCs/>
      <w:color w:val="2DA1A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A"/>
    <w:rPr>
      <w:i/>
      <w:iCs/>
      <w:color w:val="2DA1A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92A"/>
    <w:rPr>
      <w:b/>
      <w:bCs/>
      <w:smallCaps/>
      <w:color w:val="2DA1A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92A"/>
  </w:style>
  <w:style w:type="paragraph" w:styleId="Footer">
    <w:name w:val="footer"/>
    <w:basedOn w:val="Normal"/>
    <w:link w:val="FooterChar"/>
    <w:uiPriority w:val="99"/>
    <w:unhideWhenUsed/>
    <w:qFormat/>
    <w:rsid w:val="00B45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92A"/>
  </w:style>
  <w:style w:type="character" w:styleId="Hyperlink">
    <w:name w:val="Hyperlink"/>
    <w:basedOn w:val="DefaultParagraphFont"/>
    <w:uiPriority w:val="99"/>
    <w:unhideWhenUsed/>
    <w:rsid w:val="000C56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6B3"/>
    <w:rPr>
      <w:color w:val="605E5C"/>
      <w:shd w:val="clear" w:color="auto" w:fill="E1DFDD"/>
    </w:rPr>
  </w:style>
  <w:style w:type="paragraph" w:customStyle="1" w:styleId="Address">
    <w:name w:val="Address"/>
    <w:basedOn w:val="Normal"/>
    <w:next w:val="Normal"/>
    <w:qFormat/>
    <w:rsid w:val="0001178B"/>
    <w:pPr>
      <w:spacing w:before="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g.gov.au/legal-system/legal-assistance-services/commonwealth-legal-financial-assistan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nac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finass@ag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naccgovau.sharepoint.com/sites/Documents/Shared%20Documents/ACLEI%20-%20Staff%20Information/ACLEI%20-%20Media/Handover%20March%202024/Infomation%20sheet/Website%20factsheets/nacc.gov.au" TargetMode="External"/></Relationships>
</file>

<file path=word/theme/theme1.xml><?xml version="1.0" encoding="utf-8"?>
<a:theme xmlns:a="http://schemas.openxmlformats.org/drawingml/2006/main" name="Factsheets">
  <a:themeElements>
    <a:clrScheme name="Factsheets">
      <a:dk1>
        <a:srgbClr val="1A5A8D"/>
      </a:dk1>
      <a:lt1>
        <a:srgbClr val="E1E8F6"/>
      </a:lt1>
      <a:dk2>
        <a:srgbClr val="44546A"/>
      </a:dk2>
      <a:lt2>
        <a:srgbClr val="F1F4FA"/>
      </a:lt2>
      <a:accent1>
        <a:srgbClr val="54C6D3"/>
      </a:accent1>
      <a:accent2>
        <a:srgbClr val="19B1C3"/>
      </a:accent2>
      <a:accent3>
        <a:srgbClr val="1A5A8D"/>
      </a:accent3>
      <a:accent4>
        <a:srgbClr val="44546A"/>
      </a:accent4>
      <a:accent5>
        <a:srgbClr val="FFFFFF"/>
      </a:accent5>
      <a:accent6>
        <a:srgbClr val="2F3A48"/>
      </a:accent6>
      <a:hlink>
        <a:srgbClr val="0563C1"/>
      </a:hlink>
      <a:folHlink>
        <a:srgbClr val="954F72"/>
      </a:folHlink>
    </a:clrScheme>
    <a:fontScheme name="NACC">
      <a:majorFont>
        <a:latin typeface="Work San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28C2B40F6724F9AAF18514AA7FE31" ma:contentTypeVersion="17" ma:contentTypeDescription="Create a new document." ma:contentTypeScope="" ma:versionID="de39e4fc0fc1f083afea78accd9a1714">
  <xsd:schema xmlns:xsd="http://www.w3.org/2001/XMLSchema" xmlns:xs="http://www.w3.org/2001/XMLSchema" xmlns:p="http://schemas.microsoft.com/office/2006/metadata/properties" xmlns:ns1="http://schemas.microsoft.com/sharepoint/v3" xmlns:ns2="d2e9e14e-99e1-497c-83a5-3b28ccefc3c2" xmlns:ns3="1316ae24-60f4-4d67-acbd-1267dac1a8d7" targetNamespace="http://schemas.microsoft.com/office/2006/metadata/properties" ma:root="true" ma:fieldsID="423fd13ccd5148220fb97f6ef89271cc" ns1:_="" ns2:_="" ns3:_="">
    <xsd:import namespace="http://schemas.microsoft.com/sharepoint/v3"/>
    <xsd:import namespace="d2e9e14e-99e1-497c-83a5-3b28ccefc3c2"/>
    <xsd:import namespace="1316ae24-60f4-4d67-acbd-1267dac1a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9e14e-99e1-497c-83a5-3b28ccefc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ccb3dc-ee57-4dc3-a21f-2c7a2df248d7}" ma:internalName="TaxCatchAll" ma:showField="CatchAllData" ma:web="d2e9e14e-99e1-497c-83a5-3b28ccefc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ae24-60f4-4d67-acbd-1267dac1a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fff482-d92e-4230-8274-7db54dbfc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6ae24-60f4-4d67-acbd-1267dac1a8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d2e9e14e-99e1-497c-83a5-3b28ccefc3c2" xsi:nil="true"/>
  </documentManagement>
</p:properties>
</file>

<file path=customXml/itemProps1.xml><?xml version="1.0" encoding="utf-8"?>
<ds:datastoreItem xmlns:ds="http://schemas.openxmlformats.org/officeDocument/2006/customXml" ds:itemID="{CD2BB6C1-9ADA-4134-B792-ED2BC120D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9e14e-99e1-497c-83a5-3b28ccefc3c2"/>
    <ds:schemaRef ds:uri="1316ae24-60f4-4d67-acbd-1267dac1a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650CD-051D-4092-99FB-148B43EE1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D367B-F814-41EB-BE3A-A44D7EA2D4F9}">
  <ds:schemaRefs>
    <ds:schemaRef ds:uri="http://purl.org/dc/elements/1.1/"/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316ae24-60f4-4d67-acbd-1267dac1a8d7"/>
    <ds:schemaRef ds:uri="d2e9e14e-99e1-497c-83a5-3b28ccefc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1254</Words>
  <Characters>6772</Characters>
  <Application>Microsoft Office Word</Application>
  <DocSecurity>0</DocSecurity>
  <Lines>169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persons interacting with the NACC</vt:lpstr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persons interacting with the NACC</dc:title>
  <dc:subject/>
  <dc:creator>meda@nacc.gov.au</dc:creator>
  <cp:keywords/>
  <dc:description/>
  <cp:lastModifiedBy>Amy ter Bogt</cp:lastModifiedBy>
  <cp:revision>2</cp:revision>
  <dcterms:created xsi:type="dcterms:W3CDTF">2024-07-09T04:48:00Z</dcterms:created>
  <dcterms:modified xsi:type="dcterms:W3CDTF">2024-07-09T04:48:00Z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62b3b423,84b0985,1e53d80b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6a95ff66,3b88bb7e,27790469,40810405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0x01010032528C2B40F6724F9AAF18514AA7FE31</vt:lpwstr>
  </property>
  <property fmtid="{D5CDD505-2E9C-101B-9397-08002B2CF9AE}" pid="9" name="MSIP_Label_4ba86659-d6e4-4b6d-88ae-202639b32f10_Enabled">
    <vt:lpwstr>true</vt:lpwstr>
  </property>
  <property fmtid="{D5CDD505-2E9C-101B-9397-08002B2CF9AE}" pid="10" name="MSIP_Label_4ba86659-d6e4-4b6d-88ae-202639b32f10_SetDate">
    <vt:lpwstr>2024-06-20T02:07:53Z</vt:lpwstr>
  </property>
  <property fmtid="{D5CDD505-2E9C-101B-9397-08002B2CF9AE}" pid="11" name="MSIP_Label_4ba86659-d6e4-4b6d-88ae-202639b32f10_Method">
    <vt:lpwstr>Privileged</vt:lpwstr>
  </property>
  <property fmtid="{D5CDD505-2E9C-101B-9397-08002B2CF9AE}" pid="12" name="MSIP_Label_4ba86659-d6e4-4b6d-88ae-202639b32f10_Name">
    <vt:lpwstr>58a895b5-cb81-4777-98ae-74e2a157223f</vt:lpwstr>
  </property>
  <property fmtid="{D5CDD505-2E9C-101B-9397-08002B2CF9AE}" pid="13" name="MSIP_Label_4ba86659-d6e4-4b6d-88ae-202639b32f10_SiteId">
    <vt:lpwstr>f7f84514-8dcd-479a-9ae7-7501fc047b54</vt:lpwstr>
  </property>
  <property fmtid="{D5CDD505-2E9C-101B-9397-08002B2CF9AE}" pid="14" name="MSIP_Label_4ba86659-d6e4-4b6d-88ae-202639b32f10_ActionId">
    <vt:lpwstr>c0204aa1-db48-48e1-b0ee-bbfbcff2e8f7</vt:lpwstr>
  </property>
  <property fmtid="{D5CDD505-2E9C-101B-9397-08002B2CF9AE}" pid="15" name="MSIP_Label_4ba86659-d6e4-4b6d-88ae-202639b32f10_ContentBits">
    <vt:lpwstr>3</vt:lpwstr>
  </property>
  <property fmtid="{D5CDD505-2E9C-101B-9397-08002B2CF9AE}" pid="16" name="MediaServiceImageTags">
    <vt:lpwstr/>
  </property>
</Properties>
</file>