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FB936" w14:textId="38591959" w:rsidR="000C56B3" w:rsidRDefault="00C0048E">
      <w:r>
        <w:rPr>
          <w:noProof/>
        </w:rPr>
        <w:drawing>
          <wp:anchor distT="0" distB="0" distL="114300" distR="114300" simplePos="0" relativeHeight="251658240" behindDoc="1" locked="0" layoutInCell="1" allowOverlap="1" wp14:anchorId="6B562EEF" wp14:editId="0553E3DB">
            <wp:simplePos x="0" y="0"/>
            <wp:positionH relativeFrom="column">
              <wp:posOffset>-914400</wp:posOffset>
            </wp:positionH>
            <wp:positionV relativeFrom="page">
              <wp:posOffset>-1</wp:posOffset>
            </wp:positionV>
            <wp:extent cx="7557886" cy="10690397"/>
            <wp:effectExtent l="0" t="0" r="5080" b="0"/>
            <wp:wrapNone/>
            <wp:docPr id="31761027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61027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454" cy="10711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6B3">
        <w:rPr>
          <w:noProof/>
        </w:rPr>
        <w:drawing>
          <wp:inline distT="0" distB="0" distL="0" distR="0" wp14:anchorId="7147A6AE" wp14:editId="6D00A96E">
            <wp:extent cx="3187337" cy="598200"/>
            <wp:effectExtent l="0" t="0" r="0" b="0"/>
            <wp:docPr id="659082661" name="Picture 8" descr="National Anti-Corruption Commiss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82661" name="Picture 8" descr="National Anti-Corruption Commission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927" cy="61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265EC" w14:textId="104BAE5F" w:rsidR="006177AC" w:rsidRDefault="000C56B3" w:rsidP="00C0048E">
      <w:pPr>
        <w:pStyle w:val="Heading1"/>
        <w:spacing w:after="2040"/>
        <w:rPr>
          <w:noProof/>
        </w:rPr>
        <w:sectPr w:rsidR="006177AC" w:rsidSect="00C0048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335" w:right="1440" w:bottom="1440" w:left="1440" w:header="0" w:footer="709" w:gutter="0"/>
          <w:cols w:space="708"/>
          <w:titlePg/>
          <w:docGrid w:linePitch="360"/>
        </w:sectPr>
      </w:pPr>
      <w:r>
        <w:rPr>
          <w:noProof/>
        </w:rPr>
        <w:t>Aligning with the</w:t>
      </w:r>
      <w:r w:rsidR="006177AC">
        <w:rPr>
          <w:noProof/>
        </w:rPr>
        <w:t xml:space="preserve"> </w:t>
      </w:r>
      <w:r>
        <w:rPr>
          <w:noProof/>
        </w:rPr>
        <w:t>NACC Act</w:t>
      </w:r>
    </w:p>
    <w:p w14:paraId="4654B444" w14:textId="2B1AA5D8" w:rsidR="006C7239" w:rsidRDefault="006C7239" w:rsidP="006C7239">
      <w:pPr>
        <w:pStyle w:val="Heading2"/>
        <w:rPr>
          <w:noProof/>
        </w:rPr>
      </w:pPr>
      <w:r>
        <w:rPr>
          <w:noProof/>
        </w:rPr>
        <w:t>Essential requirements</w:t>
      </w:r>
    </w:p>
    <w:p w14:paraId="6A3F493A" w14:textId="3EBDE2AA" w:rsidR="006C7239" w:rsidRDefault="006C7239" w:rsidP="006C7239">
      <w:pPr>
        <w:rPr>
          <w:noProof/>
        </w:rPr>
      </w:pPr>
      <w:r>
        <w:rPr>
          <w:noProof/>
        </w:rPr>
        <w:t xml:space="preserve">The </w:t>
      </w:r>
      <w:hyperlink r:id="rId18" w:history="1">
        <w:r w:rsidRPr="006C7239">
          <w:rPr>
            <w:rStyle w:val="Hyperlink"/>
            <w:i/>
            <w:iCs/>
            <w:noProof/>
          </w:rPr>
          <w:t>National Anti-Corruption Commission Act 2022</w:t>
        </w:r>
      </w:hyperlink>
      <w:r>
        <w:rPr>
          <w:noProof/>
        </w:rPr>
        <w:t xml:space="preserve"> (the NACC Act) requires agency heads to:</w:t>
      </w:r>
    </w:p>
    <w:p w14:paraId="18E9300E" w14:textId="4F69CC07" w:rsidR="006C7239" w:rsidRPr="00736E8C" w:rsidRDefault="006C7239" w:rsidP="00736E8C">
      <w:pPr>
        <w:pStyle w:val="ListParagraph"/>
        <w:numPr>
          <w:ilvl w:val="0"/>
          <w:numId w:val="5"/>
        </w:numPr>
      </w:pPr>
      <w:r>
        <w:rPr>
          <w:noProof/>
        </w:rPr>
        <w:t xml:space="preserve">refer </w:t>
      </w:r>
      <w:r w:rsidRPr="00736E8C">
        <w:t>corruption issues that could be serious or systemic to the Commission</w:t>
      </w:r>
    </w:p>
    <w:p w14:paraId="44E557D6" w14:textId="2A0A4EFD" w:rsidR="006C7239" w:rsidRPr="00736E8C" w:rsidRDefault="006C7239" w:rsidP="00736E8C">
      <w:pPr>
        <w:pStyle w:val="ListParagraph"/>
        <w:numPr>
          <w:ilvl w:val="0"/>
          <w:numId w:val="5"/>
        </w:numPr>
      </w:pPr>
      <w:r w:rsidRPr="00736E8C">
        <w:t>provide the Commission entry and/or access to agency information</w:t>
      </w:r>
    </w:p>
    <w:p w14:paraId="7715FA22" w14:textId="3BA6C924" w:rsidR="006C7239" w:rsidRPr="00736E8C" w:rsidRDefault="006C7239" w:rsidP="00736E8C">
      <w:pPr>
        <w:pStyle w:val="ListParagraph"/>
        <w:numPr>
          <w:ilvl w:val="0"/>
          <w:numId w:val="5"/>
        </w:numPr>
      </w:pPr>
      <w:r w:rsidRPr="00736E8C">
        <w:t>when directed by the Commission, undertake investigations into corruption issues and, if required, provide a report to the Commission on the investigation</w:t>
      </w:r>
    </w:p>
    <w:p w14:paraId="618AEA93" w14:textId="4D72C9E2" w:rsidR="006C7239" w:rsidRPr="00736E8C" w:rsidRDefault="006C7239" w:rsidP="00736E8C">
      <w:pPr>
        <w:pStyle w:val="ListParagraph"/>
        <w:numPr>
          <w:ilvl w:val="0"/>
          <w:numId w:val="5"/>
        </w:numPr>
      </w:pPr>
      <w:r w:rsidRPr="00736E8C">
        <w:t xml:space="preserve">when directed by the Commission, stop </w:t>
      </w:r>
      <w:proofErr w:type="gramStart"/>
      <w:r w:rsidRPr="00736E8C">
        <w:t>taking action</w:t>
      </w:r>
      <w:proofErr w:type="gramEnd"/>
      <w:r w:rsidRPr="00736E8C">
        <w:t xml:space="preserve"> in relation to an investigation</w:t>
      </w:r>
    </w:p>
    <w:p w14:paraId="2955E843" w14:textId="706D88FC" w:rsidR="006C7239" w:rsidRDefault="006C7239" w:rsidP="00736E8C">
      <w:pPr>
        <w:pStyle w:val="ListParagraph"/>
        <w:numPr>
          <w:ilvl w:val="0"/>
          <w:numId w:val="5"/>
        </w:numPr>
        <w:rPr>
          <w:noProof/>
        </w:rPr>
      </w:pPr>
      <w:r w:rsidRPr="00736E8C">
        <w:t xml:space="preserve">respond to any recommendations </w:t>
      </w:r>
      <w:r>
        <w:rPr>
          <w:noProof/>
        </w:rPr>
        <w:t>made by the Commission.</w:t>
      </w:r>
    </w:p>
    <w:p w14:paraId="4F761965" w14:textId="36A916E8" w:rsidR="006C7239" w:rsidRDefault="006C7239" w:rsidP="006C7239">
      <w:pPr>
        <w:rPr>
          <w:noProof/>
        </w:rPr>
      </w:pPr>
      <w:r>
        <w:rPr>
          <w:noProof/>
        </w:rPr>
        <w:t xml:space="preserve">The Act also requires authorised officers under the </w:t>
      </w:r>
      <w:hyperlink r:id="rId19" w:history="1">
        <w:r w:rsidRPr="006C7239">
          <w:rPr>
            <w:rStyle w:val="Hyperlink"/>
            <w:i/>
            <w:iCs/>
            <w:noProof/>
          </w:rPr>
          <w:t>Public Interest Disclosure Act 2013</w:t>
        </w:r>
      </w:hyperlink>
      <w:r>
        <w:rPr>
          <w:noProof/>
        </w:rPr>
        <w:t xml:space="preserve"> to refer corruption issues which could be serious or systemic to the Commission.</w:t>
      </w:r>
    </w:p>
    <w:p w14:paraId="00B9240B" w14:textId="77777777" w:rsidR="006C7239" w:rsidRDefault="006C7239" w:rsidP="006C7239">
      <w:pPr>
        <w:pStyle w:val="Heading2"/>
        <w:rPr>
          <w:noProof/>
        </w:rPr>
      </w:pPr>
      <w:r>
        <w:rPr>
          <w:noProof/>
        </w:rPr>
        <w:lastRenderedPageBreak/>
        <w:t>Ensuring your agency is able to respond to the above</w:t>
      </w:r>
    </w:p>
    <w:p w14:paraId="2B7CE3A7" w14:textId="57778C3F" w:rsidR="006C7239" w:rsidRDefault="006C7239" w:rsidP="006C7239">
      <w:pPr>
        <w:rPr>
          <w:noProof/>
        </w:rPr>
      </w:pPr>
      <w:r>
        <w:rPr>
          <w:noProof/>
        </w:rPr>
        <w:t>The following outlines some steps your agency might take, to ensure it is ready to</w:t>
      </w:r>
      <w:r w:rsidR="00736E8C">
        <w:rPr>
          <w:noProof/>
        </w:rPr>
        <w:t xml:space="preserve"> </w:t>
      </w:r>
      <w:r>
        <w:rPr>
          <w:noProof/>
        </w:rPr>
        <w:t>comply with the requirements of the NACC Act.</w:t>
      </w:r>
    </w:p>
    <w:p w14:paraId="4A36740C" w14:textId="77777777" w:rsidR="00736E8C" w:rsidRPr="00736E8C" w:rsidRDefault="006C7239" w:rsidP="00736E8C">
      <w:pPr>
        <w:pStyle w:val="ListParagraph"/>
        <w:numPr>
          <w:ilvl w:val="0"/>
          <w:numId w:val="3"/>
        </w:numPr>
      </w:pPr>
      <w:r>
        <w:rPr>
          <w:noProof/>
        </w:rPr>
        <w:t xml:space="preserve">Review policies and </w:t>
      </w:r>
      <w:r w:rsidRPr="00736E8C">
        <w:t>processes to ensure they reflect the mandatory</w:t>
      </w:r>
      <w:r w:rsidR="00736E8C" w:rsidRPr="00736E8C">
        <w:t xml:space="preserve"> </w:t>
      </w:r>
      <w:r w:rsidRPr="00736E8C">
        <w:t>obligations under the NACC Act – for example, those relating to PID</w:t>
      </w:r>
      <w:r w:rsidR="00736E8C" w:rsidRPr="00736E8C">
        <w:t xml:space="preserve"> </w:t>
      </w:r>
      <w:r w:rsidRPr="00736E8C">
        <w:t>disclosures, Code of Conduct and other disciplinary processes.</w:t>
      </w:r>
    </w:p>
    <w:p w14:paraId="51707392" w14:textId="5DF7DB87" w:rsidR="006C7239" w:rsidRPr="00736E8C" w:rsidRDefault="006C7239" w:rsidP="00736E8C">
      <w:pPr>
        <w:pStyle w:val="ListParagraph"/>
        <w:numPr>
          <w:ilvl w:val="0"/>
          <w:numId w:val="3"/>
        </w:numPr>
      </w:pPr>
      <w:r w:rsidRPr="00736E8C">
        <w:t xml:space="preserve">Consider whether delegations to senior officers to carry out </w:t>
      </w:r>
      <w:r w:rsidR="009D346D" w:rsidRPr="00736E8C">
        <w:t>requirements.</w:t>
      </w:r>
    </w:p>
    <w:p w14:paraId="620E8EEA" w14:textId="08ADC0BC" w:rsidR="006C7239" w:rsidRPr="00736E8C" w:rsidRDefault="002B2EFA" w:rsidP="00736E8C">
      <w:pPr>
        <w:pStyle w:val="ListParagraph"/>
        <w:numPr>
          <w:ilvl w:val="0"/>
          <w:numId w:val="3"/>
        </w:numPr>
      </w:pPr>
      <w:r>
        <w:t>U</w:t>
      </w:r>
      <w:r w:rsidRPr="00736E8C">
        <w:t xml:space="preserve">nder </w:t>
      </w:r>
      <w:r w:rsidR="006C7239" w:rsidRPr="00736E8C">
        <w:t>the NACC Act on behalf of your agency head are appropriate.</w:t>
      </w:r>
    </w:p>
    <w:p w14:paraId="06E3FB51" w14:textId="312F0A89" w:rsidR="00C80649" w:rsidRPr="00736E8C" w:rsidRDefault="006C7239" w:rsidP="00736E8C">
      <w:pPr>
        <w:pStyle w:val="ListParagraph"/>
        <w:numPr>
          <w:ilvl w:val="0"/>
          <w:numId w:val="3"/>
        </w:numPr>
      </w:pPr>
      <w:r w:rsidRPr="00736E8C">
        <w:t>Prepare targeted guidance for agency head delegates, integrity personnel and</w:t>
      </w:r>
      <w:r w:rsidR="00736E8C" w:rsidRPr="00736E8C">
        <w:t xml:space="preserve"> </w:t>
      </w:r>
      <w:r w:rsidRPr="00736E8C">
        <w:t>PID officers on the NACC Act.</w:t>
      </w:r>
    </w:p>
    <w:p w14:paraId="3C2C0A61" w14:textId="29FD1886" w:rsidR="006C7239" w:rsidRPr="00736E8C" w:rsidRDefault="006C7239" w:rsidP="00736E8C">
      <w:pPr>
        <w:pStyle w:val="ListParagraph"/>
        <w:numPr>
          <w:ilvl w:val="0"/>
          <w:numId w:val="3"/>
        </w:numPr>
      </w:pPr>
      <w:r w:rsidRPr="00736E8C">
        <w:t>Circulate information to staff, including key points for senior officers to use</w:t>
      </w:r>
      <w:r w:rsidR="00736E8C" w:rsidRPr="00736E8C">
        <w:t xml:space="preserve"> </w:t>
      </w:r>
      <w:r w:rsidRPr="00736E8C">
        <w:t>when engaging with staff.</w:t>
      </w:r>
    </w:p>
    <w:p w14:paraId="3E990BB2" w14:textId="23FBA229" w:rsidR="006C7239" w:rsidRPr="00736E8C" w:rsidRDefault="006C7239" w:rsidP="00736E8C">
      <w:pPr>
        <w:pStyle w:val="ListParagraph"/>
        <w:numPr>
          <w:ilvl w:val="0"/>
          <w:numId w:val="3"/>
        </w:numPr>
      </w:pPr>
      <w:r w:rsidRPr="00736E8C">
        <w:t>Incorporate NACC information into relevant eLearning modules or other</w:t>
      </w:r>
      <w:r w:rsidR="00736E8C" w:rsidRPr="00736E8C">
        <w:t xml:space="preserve"> </w:t>
      </w:r>
      <w:r w:rsidRPr="00736E8C">
        <w:t>existing education material.</w:t>
      </w:r>
    </w:p>
    <w:p w14:paraId="08E172AB" w14:textId="1E5DEE83" w:rsidR="00736E8C" w:rsidRDefault="006C7239" w:rsidP="00736E8C">
      <w:pPr>
        <w:pStyle w:val="ListParagraph"/>
        <w:numPr>
          <w:ilvl w:val="0"/>
          <w:numId w:val="3"/>
        </w:numPr>
        <w:rPr>
          <w:noProof/>
        </w:rPr>
      </w:pPr>
      <w:r w:rsidRPr="00736E8C">
        <w:t>Review your internal risk frameworks to ensure they engage with corruption</w:t>
      </w:r>
      <w:r w:rsidR="00736E8C" w:rsidRPr="00736E8C">
        <w:t xml:space="preserve"> </w:t>
      </w:r>
      <w:r w:rsidRPr="00736E8C">
        <w:t xml:space="preserve">risks and that mitigation </w:t>
      </w:r>
      <w:r>
        <w:rPr>
          <w:noProof/>
        </w:rPr>
        <w:t>measures are in place.</w:t>
      </w:r>
    </w:p>
    <w:p w14:paraId="60F2FFB4" w14:textId="769D3AB0" w:rsidR="006C7239" w:rsidRPr="007368A0" w:rsidRDefault="006C7239" w:rsidP="003E066F">
      <w:pPr>
        <w:pStyle w:val="Heading2"/>
        <w:pBdr>
          <w:top w:val="single" w:sz="48" w:space="12" w:color="E1E8F6" w:themeColor="background1"/>
          <w:left w:val="single" w:sz="48" w:space="12" w:color="E1E8F6" w:themeColor="background1"/>
          <w:bottom w:val="single" w:sz="48" w:space="12" w:color="E1E8F6" w:themeColor="background1"/>
          <w:right w:val="single" w:sz="48" w:space="12" w:color="E1E8F6" w:themeColor="background1"/>
        </w:pBdr>
        <w:shd w:val="clear" w:color="auto" w:fill="E1E8F6" w:themeFill="background1"/>
        <w:rPr>
          <w:noProof/>
          <w:color w:val="2F3A48" w:themeColor="accent6"/>
        </w:rPr>
      </w:pPr>
      <w:r w:rsidRPr="007368A0">
        <w:rPr>
          <w:noProof/>
          <w:color w:val="2F3A48" w:themeColor="accent6"/>
        </w:rPr>
        <w:t>Additional resources</w:t>
      </w:r>
    </w:p>
    <w:p w14:paraId="2CA3D0CA" w14:textId="64EA5C47" w:rsidR="006C7239" w:rsidRDefault="006C7239" w:rsidP="003E066F">
      <w:pPr>
        <w:pBdr>
          <w:top w:val="single" w:sz="48" w:space="12" w:color="E1E8F6" w:themeColor="background1"/>
          <w:left w:val="single" w:sz="48" w:space="12" w:color="E1E8F6" w:themeColor="background1"/>
          <w:bottom w:val="single" w:sz="48" w:space="12" w:color="E1E8F6" w:themeColor="background1"/>
          <w:right w:val="single" w:sz="48" w:space="12" w:color="E1E8F6" w:themeColor="background1"/>
        </w:pBdr>
        <w:shd w:val="clear" w:color="auto" w:fill="E1E8F6" w:themeFill="background1"/>
        <w:rPr>
          <w:noProof/>
        </w:rPr>
      </w:pPr>
      <w:r>
        <w:rPr>
          <w:noProof/>
        </w:rPr>
        <w:t>The Commission has a range of useful materials available on its website that</w:t>
      </w:r>
      <w:r w:rsidR="00736E8C">
        <w:rPr>
          <w:noProof/>
        </w:rPr>
        <w:t xml:space="preserve"> </w:t>
      </w:r>
      <w:r>
        <w:rPr>
          <w:noProof/>
        </w:rPr>
        <w:t>might help when completing the above, including:</w:t>
      </w:r>
    </w:p>
    <w:p w14:paraId="238DAA47" w14:textId="33A4A789" w:rsidR="006C7239" w:rsidRDefault="006C7239" w:rsidP="003E066F">
      <w:pPr>
        <w:pStyle w:val="ListParagraph"/>
        <w:numPr>
          <w:ilvl w:val="0"/>
          <w:numId w:val="6"/>
        </w:numPr>
        <w:pBdr>
          <w:top w:val="single" w:sz="48" w:space="12" w:color="E1E8F6" w:themeColor="background1"/>
          <w:left w:val="single" w:sz="48" w:space="12" w:color="E1E8F6" w:themeColor="background1"/>
          <w:bottom w:val="single" w:sz="48" w:space="12" w:color="E1E8F6" w:themeColor="background1"/>
          <w:right w:val="single" w:sz="48" w:space="12" w:color="E1E8F6" w:themeColor="background1"/>
        </w:pBdr>
        <w:shd w:val="clear" w:color="auto" w:fill="E1E8F6" w:themeFill="background1"/>
        <w:rPr>
          <w:noProof/>
        </w:rPr>
      </w:pPr>
      <w:r>
        <w:rPr>
          <w:noProof/>
        </w:rPr>
        <w:t xml:space="preserve">the </w:t>
      </w:r>
      <w:hyperlink r:id="rId20" w:history="1">
        <w:r w:rsidRPr="007368A0">
          <w:rPr>
            <w:rStyle w:val="Hyperlink"/>
            <w:noProof/>
            <w:color w:val="2F3A48" w:themeColor="accent6"/>
          </w:rPr>
          <w:t>Commonwealth Integrity Maturity Framework</w:t>
        </w:r>
      </w:hyperlink>
    </w:p>
    <w:p w14:paraId="107296D7" w14:textId="1BB8D6D3" w:rsidR="0001178B" w:rsidRPr="0001178B" w:rsidRDefault="00C613B3" w:rsidP="003E066F">
      <w:pPr>
        <w:pStyle w:val="ListParagraph"/>
        <w:numPr>
          <w:ilvl w:val="0"/>
          <w:numId w:val="6"/>
        </w:numPr>
        <w:pBdr>
          <w:top w:val="single" w:sz="48" w:space="12" w:color="E1E8F6" w:themeColor="background1"/>
          <w:left w:val="single" w:sz="48" w:space="12" w:color="E1E8F6" w:themeColor="background1"/>
          <w:bottom w:val="single" w:sz="48" w:space="12" w:color="E1E8F6" w:themeColor="background1"/>
          <w:right w:val="single" w:sz="48" w:space="12" w:color="E1E8F6" w:themeColor="background1"/>
        </w:pBdr>
        <w:shd w:val="clear" w:color="auto" w:fill="E1E8F6" w:themeFill="background1"/>
        <w:rPr>
          <w:noProof/>
        </w:rPr>
      </w:pPr>
      <w:hyperlink r:id="rId21" w:history="1">
        <w:r w:rsidR="006C7239" w:rsidRPr="007368A0">
          <w:rPr>
            <w:rStyle w:val="Hyperlink"/>
            <w:noProof/>
            <w:color w:val="2F3A48" w:themeColor="accent6"/>
          </w:rPr>
          <w:t>Prevention and education resources</w:t>
        </w:r>
      </w:hyperlink>
      <w:r w:rsidR="006C7239">
        <w:rPr>
          <w:noProof/>
        </w:rPr>
        <w:t>.</w:t>
      </w:r>
      <w:r w:rsidR="0001178B">
        <w:rPr>
          <w:noProof/>
        </w:rPr>
        <w:br w:type="page"/>
      </w:r>
    </w:p>
    <w:p w14:paraId="6417361E" w14:textId="66A62F54" w:rsidR="006C7239" w:rsidRDefault="006C7239" w:rsidP="003E066F">
      <w:pPr>
        <w:pStyle w:val="Heading2"/>
        <w:pBdr>
          <w:top w:val="single" w:sz="48" w:space="12" w:color="F1F4FA" w:themeColor="background2"/>
          <w:left w:val="single" w:sz="48" w:space="12" w:color="F1F4FA" w:themeColor="background2"/>
          <w:bottom w:val="single" w:sz="48" w:space="12" w:color="F1F4FA" w:themeColor="background2"/>
          <w:right w:val="single" w:sz="48" w:space="12" w:color="F1F4FA" w:themeColor="background2"/>
        </w:pBdr>
        <w:shd w:val="clear" w:color="auto" w:fill="F1F4FA" w:themeFill="background2"/>
        <w:rPr>
          <w:noProof/>
        </w:rPr>
      </w:pPr>
      <w:r>
        <w:rPr>
          <w:noProof/>
        </w:rPr>
        <w:lastRenderedPageBreak/>
        <w:t>Contact us</w:t>
      </w:r>
    </w:p>
    <w:p w14:paraId="32F384B4" w14:textId="0C8116E2" w:rsidR="006C7239" w:rsidRPr="007368A0" w:rsidRDefault="006C7239" w:rsidP="003E066F">
      <w:pPr>
        <w:pBdr>
          <w:top w:val="single" w:sz="48" w:space="12" w:color="F1F4FA" w:themeColor="background2"/>
          <w:left w:val="single" w:sz="48" w:space="12" w:color="F1F4FA" w:themeColor="background2"/>
          <w:bottom w:val="single" w:sz="48" w:space="12" w:color="F1F4FA" w:themeColor="background2"/>
          <w:right w:val="single" w:sz="48" w:space="12" w:color="F1F4FA" w:themeColor="background2"/>
        </w:pBdr>
        <w:shd w:val="clear" w:color="auto" w:fill="F1F4FA" w:themeFill="background2"/>
        <w:rPr>
          <w:noProof/>
          <w:color w:val="2F3A48" w:themeColor="accent6"/>
        </w:rPr>
      </w:pPr>
      <w:r w:rsidRPr="007368A0">
        <w:rPr>
          <w:noProof/>
          <w:color w:val="2F3A48" w:themeColor="accent6"/>
        </w:rPr>
        <w:t>To make a report</w:t>
      </w:r>
      <w:r w:rsidR="00736E8C" w:rsidRPr="007368A0">
        <w:rPr>
          <w:noProof/>
          <w:color w:val="2F3A48" w:themeColor="accent6"/>
        </w:rPr>
        <w:t xml:space="preserve"> </w:t>
      </w:r>
      <w:r w:rsidRPr="007368A0">
        <w:rPr>
          <w:noProof/>
          <w:color w:val="2F3A48" w:themeColor="accent6"/>
        </w:rPr>
        <w:t>or general enquiry</w:t>
      </w:r>
      <w:r w:rsidR="00736E8C" w:rsidRPr="007368A0">
        <w:rPr>
          <w:noProof/>
          <w:color w:val="2F3A48" w:themeColor="accent6"/>
        </w:rPr>
        <w:t xml:space="preserve"> </w:t>
      </w:r>
      <w:r w:rsidRPr="007368A0">
        <w:rPr>
          <w:noProof/>
          <w:color w:val="2F3A48" w:themeColor="accent6"/>
        </w:rPr>
        <w:t>please call us on</w:t>
      </w:r>
      <w:r w:rsidR="00736E8C" w:rsidRPr="007368A0">
        <w:rPr>
          <w:noProof/>
          <w:color w:val="2F3A48" w:themeColor="accent6"/>
        </w:rPr>
        <w:t xml:space="preserve"> </w:t>
      </w:r>
      <w:r w:rsidRPr="007368A0">
        <w:rPr>
          <w:b/>
          <w:bCs/>
          <w:noProof/>
          <w:color w:val="2F3A48" w:themeColor="accent6"/>
        </w:rPr>
        <w:t>1300 489 844</w:t>
      </w:r>
      <w:r w:rsidRPr="007368A0">
        <w:rPr>
          <w:noProof/>
          <w:color w:val="2F3A48" w:themeColor="accent6"/>
        </w:rPr>
        <w:t>.</w:t>
      </w:r>
    </w:p>
    <w:p w14:paraId="270F1411" w14:textId="034ED4C3" w:rsidR="006C7239" w:rsidRPr="007368A0" w:rsidRDefault="006C7239" w:rsidP="003E066F">
      <w:pPr>
        <w:pBdr>
          <w:top w:val="single" w:sz="48" w:space="12" w:color="F1F4FA" w:themeColor="background2"/>
          <w:left w:val="single" w:sz="48" w:space="12" w:color="F1F4FA" w:themeColor="background2"/>
          <w:bottom w:val="single" w:sz="48" w:space="12" w:color="F1F4FA" w:themeColor="background2"/>
          <w:right w:val="single" w:sz="48" w:space="12" w:color="F1F4FA" w:themeColor="background2"/>
        </w:pBdr>
        <w:shd w:val="clear" w:color="auto" w:fill="F1F4FA" w:themeFill="background2"/>
        <w:rPr>
          <w:noProof/>
          <w:color w:val="2F3A48" w:themeColor="accent6"/>
        </w:rPr>
      </w:pPr>
      <w:r w:rsidRPr="007368A0">
        <w:rPr>
          <w:noProof/>
          <w:color w:val="2F3A48" w:themeColor="accent6"/>
        </w:rPr>
        <w:t>For non-English,</w:t>
      </w:r>
      <w:r w:rsidR="00736E8C" w:rsidRPr="007368A0">
        <w:rPr>
          <w:noProof/>
          <w:color w:val="2F3A48" w:themeColor="accent6"/>
        </w:rPr>
        <w:t xml:space="preserve"> </w:t>
      </w:r>
      <w:r w:rsidRPr="007368A0">
        <w:rPr>
          <w:noProof/>
          <w:color w:val="2F3A48" w:themeColor="accent6"/>
        </w:rPr>
        <w:t xml:space="preserve">dial </w:t>
      </w:r>
      <w:r w:rsidRPr="007368A0">
        <w:rPr>
          <w:b/>
          <w:bCs/>
          <w:noProof/>
          <w:color w:val="2F3A48" w:themeColor="accent6"/>
        </w:rPr>
        <w:t>131 450</w:t>
      </w:r>
      <w:r w:rsidRPr="007368A0">
        <w:rPr>
          <w:noProof/>
          <w:color w:val="2F3A48" w:themeColor="accent6"/>
        </w:rPr>
        <w:t xml:space="preserve"> for the</w:t>
      </w:r>
      <w:r w:rsidR="00736E8C" w:rsidRPr="007368A0">
        <w:rPr>
          <w:noProof/>
          <w:color w:val="2F3A48" w:themeColor="accent6"/>
        </w:rPr>
        <w:t xml:space="preserve"> </w:t>
      </w:r>
      <w:r w:rsidRPr="007368A0">
        <w:rPr>
          <w:noProof/>
          <w:color w:val="2F3A48" w:themeColor="accent6"/>
        </w:rPr>
        <w:t>Translating and</w:t>
      </w:r>
      <w:r w:rsidR="00736E8C" w:rsidRPr="007368A0">
        <w:rPr>
          <w:noProof/>
          <w:color w:val="2F3A48" w:themeColor="accent6"/>
        </w:rPr>
        <w:t xml:space="preserve"> </w:t>
      </w:r>
      <w:r w:rsidRPr="007368A0">
        <w:rPr>
          <w:noProof/>
          <w:color w:val="2F3A48" w:themeColor="accent6"/>
        </w:rPr>
        <w:t>Interpreting Service.</w:t>
      </w:r>
    </w:p>
    <w:p w14:paraId="143FBBFC" w14:textId="62C18183" w:rsidR="006C7239" w:rsidRPr="007368A0" w:rsidRDefault="006C7239" w:rsidP="003E066F">
      <w:pPr>
        <w:pBdr>
          <w:top w:val="single" w:sz="48" w:space="12" w:color="F1F4FA" w:themeColor="background2"/>
          <w:left w:val="single" w:sz="48" w:space="12" w:color="F1F4FA" w:themeColor="background2"/>
          <w:bottom w:val="single" w:sz="48" w:space="12" w:color="F1F4FA" w:themeColor="background2"/>
          <w:right w:val="single" w:sz="48" w:space="12" w:color="F1F4FA" w:themeColor="background2"/>
        </w:pBdr>
        <w:shd w:val="clear" w:color="auto" w:fill="F1F4FA" w:themeFill="background2"/>
        <w:rPr>
          <w:noProof/>
          <w:color w:val="2F3A48" w:themeColor="accent6"/>
        </w:rPr>
      </w:pPr>
      <w:r w:rsidRPr="007368A0">
        <w:rPr>
          <w:noProof/>
          <w:color w:val="2F3A48" w:themeColor="accent6"/>
        </w:rPr>
        <w:t>For the deaf or hard of</w:t>
      </w:r>
      <w:r w:rsidR="00736E8C" w:rsidRPr="007368A0">
        <w:rPr>
          <w:noProof/>
          <w:color w:val="2F3A48" w:themeColor="accent6"/>
        </w:rPr>
        <w:t xml:space="preserve"> </w:t>
      </w:r>
      <w:r w:rsidRPr="007368A0">
        <w:rPr>
          <w:noProof/>
          <w:color w:val="2F3A48" w:themeColor="accent6"/>
        </w:rPr>
        <w:t xml:space="preserve">hearing, dial </w:t>
      </w:r>
      <w:r w:rsidRPr="007368A0">
        <w:rPr>
          <w:b/>
          <w:bCs/>
          <w:noProof/>
          <w:color w:val="2F3A48" w:themeColor="accent6"/>
        </w:rPr>
        <w:t>133 677</w:t>
      </w:r>
      <w:r w:rsidR="00736E8C" w:rsidRPr="007368A0">
        <w:rPr>
          <w:noProof/>
          <w:color w:val="2F3A48" w:themeColor="accent6"/>
        </w:rPr>
        <w:t xml:space="preserve"> </w:t>
      </w:r>
      <w:r w:rsidRPr="007368A0">
        <w:rPr>
          <w:noProof/>
          <w:color w:val="2F3A48" w:themeColor="accent6"/>
        </w:rPr>
        <w:t>for the National Relay</w:t>
      </w:r>
      <w:r w:rsidR="00736E8C" w:rsidRPr="007368A0">
        <w:rPr>
          <w:noProof/>
          <w:color w:val="2F3A48" w:themeColor="accent6"/>
        </w:rPr>
        <w:t xml:space="preserve"> </w:t>
      </w:r>
      <w:r w:rsidRPr="007368A0">
        <w:rPr>
          <w:noProof/>
          <w:color w:val="2F3A48" w:themeColor="accent6"/>
        </w:rPr>
        <w:t>Service and request to</w:t>
      </w:r>
      <w:r w:rsidR="00736E8C" w:rsidRPr="007368A0">
        <w:rPr>
          <w:noProof/>
          <w:color w:val="2F3A48" w:themeColor="accent6"/>
        </w:rPr>
        <w:t xml:space="preserve"> </w:t>
      </w:r>
      <w:r w:rsidRPr="007368A0">
        <w:rPr>
          <w:noProof/>
          <w:color w:val="2F3A48" w:themeColor="accent6"/>
        </w:rPr>
        <w:t xml:space="preserve">connect to </w:t>
      </w:r>
      <w:r w:rsidRPr="007368A0">
        <w:rPr>
          <w:b/>
          <w:bCs/>
          <w:noProof/>
          <w:color w:val="2F3A48" w:themeColor="accent6"/>
        </w:rPr>
        <w:t>1300 489 844</w:t>
      </w:r>
      <w:r w:rsidRPr="007368A0">
        <w:rPr>
          <w:noProof/>
          <w:color w:val="2F3A48" w:themeColor="accent6"/>
        </w:rPr>
        <w:t>.</w:t>
      </w:r>
    </w:p>
    <w:p w14:paraId="47A9217F" w14:textId="7348B15F" w:rsidR="006C7239" w:rsidRPr="007368A0" w:rsidRDefault="006C7239" w:rsidP="003E066F">
      <w:pPr>
        <w:pBdr>
          <w:top w:val="single" w:sz="48" w:space="12" w:color="F1F4FA" w:themeColor="background2"/>
          <w:left w:val="single" w:sz="48" w:space="12" w:color="F1F4FA" w:themeColor="background2"/>
          <w:bottom w:val="single" w:sz="48" w:space="12" w:color="F1F4FA" w:themeColor="background2"/>
          <w:right w:val="single" w:sz="48" w:space="12" w:color="F1F4FA" w:themeColor="background2"/>
        </w:pBdr>
        <w:shd w:val="clear" w:color="auto" w:fill="F1F4FA" w:themeFill="background2"/>
        <w:rPr>
          <w:noProof/>
          <w:color w:val="2F3A48" w:themeColor="accent6"/>
        </w:rPr>
      </w:pPr>
      <w:r w:rsidRPr="007368A0">
        <w:rPr>
          <w:noProof/>
          <w:color w:val="2F3A48" w:themeColor="accent6"/>
        </w:rPr>
        <w:t>Visit our website or</w:t>
      </w:r>
      <w:r w:rsidR="00736E8C" w:rsidRPr="007368A0">
        <w:rPr>
          <w:noProof/>
          <w:color w:val="2F3A48" w:themeColor="accent6"/>
        </w:rPr>
        <w:t xml:space="preserve"> </w:t>
      </w:r>
      <w:r w:rsidRPr="007368A0">
        <w:rPr>
          <w:noProof/>
          <w:color w:val="2F3A48" w:themeColor="accent6"/>
        </w:rPr>
        <w:t>complete the online</w:t>
      </w:r>
      <w:r w:rsidR="00736E8C" w:rsidRPr="007368A0">
        <w:rPr>
          <w:noProof/>
          <w:color w:val="2F3A48" w:themeColor="accent6"/>
        </w:rPr>
        <w:t xml:space="preserve"> </w:t>
      </w:r>
      <w:r w:rsidRPr="007368A0">
        <w:rPr>
          <w:noProof/>
          <w:color w:val="2F3A48" w:themeColor="accent6"/>
        </w:rPr>
        <w:t>reporting form at</w:t>
      </w:r>
      <w:r w:rsidR="00736E8C" w:rsidRPr="007368A0">
        <w:rPr>
          <w:noProof/>
          <w:color w:val="2F3A48" w:themeColor="accent6"/>
        </w:rPr>
        <w:t xml:space="preserve"> </w:t>
      </w:r>
      <w:hyperlink r:id="rId22" w:history="1">
        <w:r w:rsidRPr="007368A0">
          <w:rPr>
            <w:rStyle w:val="Hyperlink"/>
            <w:color w:val="2F3A48" w:themeColor="accent6"/>
          </w:rPr>
          <w:t>nacc.gov.au</w:t>
        </w:r>
      </w:hyperlink>
    </w:p>
    <w:p w14:paraId="09700868" w14:textId="5FAB5339" w:rsidR="006C7239" w:rsidRPr="007368A0" w:rsidRDefault="006C7239" w:rsidP="001B1D4C">
      <w:pPr>
        <w:pBdr>
          <w:top w:val="single" w:sz="48" w:space="12" w:color="F1F4FA" w:themeColor="background2"/>
          <w:left w:val="single" w:sz="48" w:space="12" w:color="F1F4FA" w:themeColor="background2"/>
          <w:bottom w:val="single" w:sz="48" w:space="12" w:color="F1F4FA" w:themeColor="background2"/>
          <w:right w:val="single" w:sz="48" w:space="12" w:color="F1F4FA" w:themeColor="background2"/>
        </w:pBdr>
        <w:shd w:val="clear" w:color="auto" w:fill="F1F4FA" w:themeFill="background2"/>
        <w:rPr>
          <w:color w:val="2F3A48" w:themeColor="accent6"/>
        </w:rPr>
      </w:pPr>
      <w:r w:rsidRPr="007368A0">
        <w:rPr>
          <w:noProof/>
          <w:color w:val="2F3A48" w:themeColor="accent6"/>
        </w:rPr>
        <w:t>Write to us at</w:t>
      </w:r>
      <w:r w:rsidR="002B2EFA" w:rsidRPr="007368A0">
        <w:rPr>
          <w:noProof/>
          <w:color w:val="2F3A48" w:themeColor="accent6"/>
        </w:rPr>
        <w:t xml:space="preserve"> </w:t>
      </w:r>
      <w:r w:rsidRPr="007368A0">
        <w:rPr>
          <w:color w:val="2F3A48" w:themeColor="accent6"/>
        </w:rPr>
        <w:t>GPO Box 605</w:t>
      </w:r>
      <w:r w:rsidR="002B2EFA" w:rsidRPr="007368A0">
        <w:rPr>
          <w:color w:val="2F3A48" w:themeColor="accent6"/>
        </w:rPr>
        <w:t xml:space="preserve">, </w:t>
      </w:r>
      <w:r w:rsidRPr="007368A0">
        <w:rPr>
          <w:color w:val="2F3A48" w:themeColor="accent6"/>
        </w:rPr>
        <w:t>Canberra ACT 2601</w:t>
      </w:r>
    </w:p>
    <w:p w14:paraId="29FF31DC" w14:textId="77777777" w:rsidR="006C7239" w:rsidRDefault="006C7239" w:rsidP="0001178B">
      <w:pPr>
        <w:rPr>
          <w:noProof/>
        </w:rPr>
      </w:pPr>
      <w:r>
        <w:rPr>
          <w:noProof/>
        </w:rPr>
        <w:t>Last updated: June 2024</w:t>
      </w:r>
    </w:p>
    <w:p w14:paraId="77248254" w14:textId="2D32D1B7" w:rsidR="006C7239" w:rsidRDefault="006C7239" w:rsidP="006C7239">
      <w:pPr>
        <w:rPr>
          <w:noProof/>
        </w:rPr>
      </w:pPr>
      <w:r>
        <w:rPr>
          <w:noProof/>
        </w:rPr>
        <w:t>© Commonwealth of</w:t>
      </w:r>
      <w:r w:rsidR="00736E8C">
        <w:rPr>
          <w:noProof/>
        </w:rPr>
        <w:t xml:space="preserve"> </w:t>
      </w:r>
      <w:r>
        <w:rPr>
          <w:noProof/>
        </w:rPr>
        <w:t>Australia 2024</w:t>
      </w:r>
    </w:p>
    <w:sectPr w:rsidR="006C7239" w:rsidSect="004C0584"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14502" w14:textId="77777777" w:rsidR="00B4592A" w:rsidRDefault="00B4592A" w:rsidP="00B4592A">
      <w:pPr>
        <w:spacing w:before="0" w:after="0" w:line="240" w:lineRule="auto"/>
      </w:pPr>
      <w:r>
        <w:separator/>
      </w:r>
    </w:p>
  </w:endnote>
  <w:endnote w:type="continuationSeparator" w:id="0">
    <w:p w14:paraId="3F8DCDD0" w14:textId="77777777" w:rsidR="00B4592A" w:rsidRDefault="00B4592A" w:rsidP="00B4592A">
      <w:pPr>
        <w:spacing w:before="0" w:after="0" w:line="240" w:lineRule="auto"/>
      </w:pPr>
      <w:r>
        <w:continuationSeparator/>
      </w:r>
    </w:p>
  </w:endnote>
  <w:endnote w:type="continuationNotice" w:id="1">
    <w:p w14:paraId="0CE0A007" w14:textId="77777777" w:rsidR="001E7CDA" w:rsidRDefault="001E7CD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D6049" w14:textId="4FF9E482" w:rsidR="00B4592A" w:rsidRDefault="00DC03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8" behindDoc="0" locked="0" layoutInCell="1" allowOverlap="1" wp14:anchorId="40C02CAA" wp14:editId="7DA6A8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283408645" name="Text Box 1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E932F9" w14:textId="7D555AA9" w:rsidR="00DC0383" w:rsidRPr="00DC0383" w:rsidRDefault="00DC0383" w:rsidP="00DC03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DC038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02CA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 " style="position:absolute;margin-left:0;margin-top:0;width:34.95pt;height:34.95pt;z-index:2516695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0E932F9" w14:textId="7D555AA9" w:rsidR="00DC0383" w:rsidRPr="00DC0383" w:rsidRDefault="00DC0383" w:rsidP="00DC03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DC0383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38C5" w14:textId="745D32C7" w:rsidR="00B4592A" w:rsidRPr="00EB4719" w:rsidRDefault="00DC0383" w:rsidP="000C56B3">
    <w:pPr>
      <w:pStyle w:val="Footer"/>
      <w:pBdr>
        <w:top w:val="single" w:sz="4" w:space="8" w:color="54C6D3" w:themeColor="accent1"/>
      </w:pBdr>
      <w:tabs>
        <w:tab w:val="clear" w:pos="4513"/>
      </w:tabs>
      <w:contextualSpacing/>
      <w:rPr>
        <w:noProof/>
        <w:color w:val="2787D5" w:themeColor="text1" w:themeTint="BF"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251670532" behindDoc="0" locked="0" layoutInCell="1" allowOverlap="1" wp14:anchorId="0229EEF0" wp14:editId="2319154D">
              <wp:simplePos x="914400" y="980290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77227423" name="Text Box 1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F0FD13" w14:textId="0B29B538" w:rsidR="00DC0383" w:rsidRPr="00DC0383" w:rsidRDefault="00DC0383" w:rsidP="00DC03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DC038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9EEF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 " style="position:absolute;margin-left:0;margin-top:0;width:34.95pt;height:34.95pt;z-index:2516705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FF0FD13" w14:textId="0B29B538" w:rsidR="00DC0383" w:rsidRPr="00DC0383" w:rsidRDefault="00DC0383" w:rsidP="00DC03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DC0383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4719" w:rsidRPr="0001178B">
      <w:rPr>
        <w:b/>
        <w:bCs/>
        <w:noProof/>
      </w:rPr>
      <w:fldChar w:fldCharType="begin"/>
    </w:r>
    <w:r w:rsidR="00EB4719" w:rsidRPr="0001178B">
      <w:rPr>
        <w:b/>
        <w:bCs/>
        <w:noProof/>
      </w:rPr>
      <w:instrText xml:space="preserve"> PAGE   \* MERGEFORMAT </w:instrText>
    </w:r>
    <w:r w:rsidR="00EB4719" w:rsidRPr="0001178B">
      <w:rPr>
        <w:b/>
        <w:bCs/>
        <w:noProof/>
      </w:rPr>
      <w:fldChar w:fldCharType="separate"/>
    </w:r>
    <w:r w:rsidR="00EB4719" w:rsidRPr="0001178B">
      <w:rPr>
        <w:b/>
        <w:bCs/>
        <w:noProof/>
      </w:rPr>
      <w:t>2</w:t>
    </w:r>
    <w:r w:rsidR="00EB4719" w:rsidRPr="0001178B">
      <w:rPr>
        <w:b/>
        <w:bCs/>
        <w:noProof/>
      </w:rPr>
      <w:fldChar w:fldCharType="end"/>
    </w:r>
    <w:r w:rsidR="000C56B3" w:rsidRPr="0001178B">
      <w:rPr>
        <w:noProof/>
      </w:rPr>
      <w:tab/>
    </w:r>
    <w:r w:rsidR="004C0584" w:rsidRPr="004C0584">
      <w:t>Aligning with the NACC Act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91E62" w14:textId="282AED45" w:rsidR="00B4592A" w:rsidRPr="00DC0383" w:rsidRDefault="00DC0383" w:rsidP="00DC0383">
    <w:pPr>
      <w:pStyle w:val="Footer"/>
      <w:pBdr>
        <w:top w:val="single" w:sz="4" w:space="8" w:color="54C6D3" w:themeColor="accent1"/>
      </w:pBdr>
      <w:tabs>
        <w:tab w:val="clear" w:pos="4513"/>
      </w:tabs>
      <w:contextualSpacing/>
      <w:rPr>
        <w:noProof/>
        <w:color w:val="2787D5" w:themeColor="text1" w:themeTint="BF"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251668484" behindDoc="0" locked="0" layoutInCell="1" allowOverlap="1" wp14:anchorId="725E30D3" wp14:editId="4FC3F180">
              <wp:simplePos x="914400" y="980290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678889650" name="Text Box 1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6ECDFF" w14:textId="5EE19730" w:rsidR="00DC0383" w:rsidRPr="00DC0383" w:rsidRDefault="00DC0383" w:rsidP="00DC03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DC038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E30D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 " style="position:absolute;margin-left:0;margin-top:0;width:34.95pt;height:34.95pt;z-index:2516684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6ECDFF" w14:textId="5EE19730" w:rsidR="00DC0383" w:rsidRPr="00DC0383" w:rsidRDefault="00DC0383" w:rsidP="00DC03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DC0383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1178B">
      <w:rPr>
        <w:b/>
        <w:bCs/>
        <w:noProof/>
      </w:rPr>
      <w:fldChar w:fldCharType="begin"/>
    </w:r>
    <w:r w:rsidRPr="0001178B">
      <w:rPr>
        <w:b/>
        <w:bCs/>
        <w:noProof/>
      </w:rPr>
      <w:instrText xml:space="preserve"> PAGE   \* MERGEFORMAT </w:instrText>
    </w:r>
    <w:r w:rsidRPr="0001178B">
      <w:rPr>
        <w:b/>
        <w:bCs/>
        <w:noProof/>
      </w:rPr>
      <w:fldChar w:fldCharType="separate"/>
    </w:r>
    <w:r>
      <w:rPr>
        <w:b/>
        <w:bCs/>
        <w:noProof/>
      </w:rPr>
      <w:t>2</w:t>
    </w:r>
    <w:r w:rsidRPr="0001178B">
      <w:rPr>
        <w:b/>
        <w:bCs/>
        <w:noProof/>
      </w:rPr>
      <w:fldChar w:fldCharType="end"/>
    </w:r>
    <w:r w:rsidRPr="0001178B">
      <w:rPr>
        <w:noProof/>
      </w:rPr>
      <w:tab/>
    </w:r>
    <w:hyperlink r:id="rId1" w:history="1">
      <w:r w:rsidRPr="000C56B3">
        <w:rPr>
          <w:rStyle w:val="Hyperlink"/>
          <w:b/>
          <w:bCs/>
          <w:noProof/>
          <w:color w:val="auto"/>
          <w:u w:val="none"/>
        </w:rPr>
        <w:t>nacc</w:t>
      </w:r>
      <w:r w:rsidRPr="000C56B3">
        <w:rPr>
          <w:rStyle w:val="Hyperlink"/>
          <w:noProof/>
          <w:color w:val="auto"/>
          <w:u w:val="none"/>
        </w:rPr>
        <w:t>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E05A1" w14:textId="77777777" w:rsidR="00B4592A" w:rsidRDefault="00B4592A" w:rsidP="00B4592A">
      <w:pPr>
        <w:spacing w:before="0" w:after="0" w:line="240" w:lineRule="auto"/>
      </w:pPr>
      <w:r>
        <w:separator/>
      </w:r>
    </w:p>
  </w:footnote>
  <w:footnote w:type="continuationSeparator" w:id="0">
    <w:p w14:paraId="2ACB6591" w14:textId="77777777" w:rsidR="00B4592A" w:rsidRDefault="00B4592A" w:rsidP="00B4592A">
      <w:pPr>
        <w:spacing w:before="0" w:after="0" w:line="240" w:lineRule="auto"/>
      </w:pPr>
      <w:r>
        <w:continuationSeparator/>
      </w:r>
    </w:p>
  </w:footnote>
  <w:footnote w:type="continuationNotice" w:id="1">
    <w:p w14:paraId="42294F68" w14:textId="77777777" w:rsidR="001E7CDA" w:rsidRDefault="001E7CD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FEF3E" w14:textId="6CC2011D" w:rsidR="00B4592A" w:rsidRDefault="00DC038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6" behindDoc="0" locked="0" layoutInCell="1" allowOverlap="1" wp14:anchorId="69B1A4E0" wp14:editId="2F82AE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6985"/>
              <wp:wrapNone/>
              <wp:docPr id="94878262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E759C" w14:textId="59E2C673" w:rsidR="00DC0383" w:rsidRPr="00DC0383" w:rsidRDefault="00DC0383" w:rsidP="00DC03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DC038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B1A4E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OFFICIAL" style="position:absolute;margin-left:0;margin-top:0;width:34.95pt;height:34.95pt;z-index:2516664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2AE759C" w14:textId="59E2C673" w:rsidR="00DC0383" w:rsidRPr="00DC0383" w:rsidRDefault="00DC0383" w:rsidP="00DC03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DC0383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5953C" w14:textId="6D0BF517" w:rsidR="00B4592A" w:rsidRDefault="00DC038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60" behindDoc="0" locked="0" layoutInCell="1" allowOverlap="1" wp14:anchorId="7EC65968" wp14:editId="7C2A6019">
              <wp:simplePos x="914400" y="443753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6985"/>
              <wp:wrapNone/>
              <wp:docPr id="1189881255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AE3F21" w14:textId="2AB89248" w:rsidR="00DC0383" w:rsidRPr="00DC0383" w:rsidRDefault="00DC0383" w:rsidP="00DC03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DC038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6596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margin-left:0;margin-top:0;width:34.95pt;height:34.95pt;z-index:2516674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FAE3F21" w14:textId="2AB89248" w:rsidR="00DC0383" w:rsidRPr="00DC0383" w:rsidRDefault="00DC0383" w:rsidP="00DC03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DC0383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14653" w14:textId="67F29DAE" w:rsidR="00B4592A" w:rsidRDefault="00DC038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12" behindDoc="0" locked="0" layoutInCell="1" allowOverlap="1" wp14:anchorId="61981478" wp14:editId="6F4E7A0A">
              <wp:simplePos x="914400" y="282388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6985"/>
              <wp:wrapNone/>
              <wp:docPr id="1968441920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2B45B0" w14:textId="1A1D642E" w:rsidR="00DC0383" w:rsidRPr="00DC0383" w:rsidRDefault="00DC0383" w:rsidP="00DC03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DC038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8147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margin-left:0;margin-top:0;width:34.95pt;height:34.95pt;z-index:2516654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F2B45B0" w14:textId="1A1D642E" w:rsidR="00DC0383" w:rsidRPr="00DC0383" w:rsidRDefault="00DC0383" w:rsidP="00DC03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DC0383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5FF8"/>
    <w:multiLevelType w:val="hybridMultilevel"/>
    <w:tmpl w:val="028295FA"/>
    <w:lvl w:ilvl="0" w:tplc="118C6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695D"/>
    <w:multiLevelType w:val="hybridMultilevel"/>
    <w:tmpl w:val="BD2CC65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32689"/>
    <w:multiLevelType w:val="hybridMultilevel"/>
    <w:tmpl w:val="4420DDE2"/>
    <w:lvl w:ilvl="0" w:tplc="118C6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40578"/>
    <w:multiLevelType w:val="hybridMultilevel"/>
    <w:tmpl w:val="D4404BE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D625B4"/>
    <w:multiLevelType w:val="hybridMultilevel"/>
    <w:tmpl w:val="35986916"/>
    <w:lvl w:ilvl="0" w:tplc="118C6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456203"/>
    <w:multiLevelType w:val="hybridMultilevel"/>
    <w:tmpl w:val="C7B61234"/>
    <w:lvl w:ilvl="0" w:tplc="118C6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827203">
    <w:abstractNumId w:val="4"/>
  </w:num>
  <w:num w:numId="2" w16cid:durableId="213200148">
    <w:abstractNumId w:val="1"/>
  </w:num>
  <w:num w:numId="3" w16cid:durableId="876158351">
    <w:abstractNumId w:val="3"/>
  </w:num>
  <w:num w:numId="4" w16cid:durableId="2036998010">
    <w:abstractNumId w:val="5"/>
  </w:num>
  <w:num w:numId="5" w16cid:durableId="2104447144">
    <w:abstractNumId w:val="2"/>
  </w:num>
  <w:num w:numId="6" w16cid:durableId="140930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2A"/>
    <w:rsid w:val="0001178B"/>
    <w:rsid w:val="00040E58"/>
    <w:rsid w:val="000C56B3"/>
    <w:rsid w:val="0013552E"/>
    <w:rsid w:val="001B1D4C"/>
    <w:rsid w:val="001E7CDA"/>
    <w:rsid w:val="00221C3B"/>
    <w:rsid w:val="002B2EFA"/>
    <w:rsid w:val="003E066F"/>
    <w:rsid w:val="004C0584"/>
    <w:rsid w:val="006177AC"/>
    <w:rsid w:val="006C7239"/>
    <w:rsid w:val="007044C7"/>
    <w:rsid w:val="007368A0"/>
    <w:rsid w:val="00736E8C"/>
    <w:rsid w:val="008D47DA"/>
    <w:rsid w:val="008F54C2"/>
    <w:rsid w:val="009D346D"/>
    <w:rsid w:val="00A8514B"/>
    <w:rsid w:val="00A868EE"/>
    <w:rsid w:val="00B4592A"/>
    <w:rsid w:val="00B8089C"/>
    <w:rsid w:val="00C0048E"/>
    <w:rsid w:val="00C613B3"/>
    <w:rsid w:val="00C80649"/>
    <w:rsid w:val="00D57AD5"/>
    <w:rsid w:val="00D71A91"/>
    <w:rsid w:val="00DC0383"/>
    <w:rsid w:val="00E21B76"/>
    <w:rsid w:val="00EB4719"/>
    <w:rsid w:val="00EC74FF"/>
    <w:rsid w:val="00F82F2F"/>
    <w:rsid w:val="00F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9278155"/>
  <w15:chartTrackingRefBased/>
  <w15:docId w15:val="{7202BDBB-8118-483A-B4AC-E00D8DD0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HAnsi" w:hAnsi="Work Sans" w:cstheme="majorBidi"/>
        <w:kern w:val="2"/>
        <w:sz w:val="24"/>
        <w:szCs w:val="40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6B3"/>
    <w:pPr>
      <w:spacing w:before="240" w:after="24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2EFA"/>
    <w:pPr>
      <w:keepNext/>
      <w:keepLines/>
      <w:spacing w:before="360" w:line="240" w:lineRule="auto"/>
      <w:outlineLvl w:val="0"/>
    </w:pPr>
    <w:rPr>
      <w:rFonts w:ascii="Work Sans SemiBold" w:eastAsiaTheme="majorEastAsia" w:hAnsi="Work Sans SemiBold"/>
      <w:color w:val="FFFFFF"/>
      <w:sz w:val="8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239"/>
    <w:pPr>
      <w:keepNext/>
      <w:keepLines/>
      <w:spacing w:before="360"/>
      <w:outlineLvl w:val="1"/>
    </w:pPr>
    <w:rPr>
      <w:rFonts w:ascii="Work Sans SemiBold" w:eastAsiaTheme="majorEastAsia" w:hAnsi="Work Sans SemiBold"/>
      <w:color w:val="1A5A8D" w:themeColor="accent3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92A"/>
    <w:pPr>
      <w:keepNext/>
      <w:keepLines/>
      <w:spacing w:before="160" w:after="80"/>
      <w:outlineLvl w:val="2"/>
    </w:pPr>
    <w:rPr>
      <w:rFonts w:eastAsiaTheme="majorEastAsia"/>
      <w:color w:val="2DA1A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92A"/>
    <w:pPr>
      <w:keepNext/>
      <w:keepLines/>
      <w:spacing w:before="80" w:after="40"/>
      <w:outlineLvl w:val="3"/>
    </w:pPr>
    <w:rPr>
      <w:rFonts w:eastAsiaTheme="majorEastAsia"/>
      <w:i/>
      <w:iCs/>
      <w:color w:val="2DA1A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92A"/>
    <w:pPr>
      <w:keepNext/>
      <w:keepLines/>
      <w:spacing w:before="80" w:after="40"/>
      <w:outlineLvl w:val="4"/>
    </w:pPr>
    <w:rPr>
      <w:rFonts w:eastAsiaTheme="majorEastAsia"/>
      <w:color w:val="2DA1A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92A"/>
    <w:pPr>
      <w:keepNext/>
      <w:keepLines/>
      <w:spacing w:before="40" w:after="0"/>
      <w:outlineLvl w:val="5"/>
    </w:pPr>
    <w:rPr>
      <w:rFonts w:eastAsiaTheme="majorEastAsia"/>
      <w:i/>
      <w:iCs/>
      <w:color w:val="4297DC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92A"/>
    <w:pPr>
      <w:keepNext/>
      <w:keepLines/>
      <w:spacing w:before="40" w:after="0"/>
      <w:outlineLvl w:val="6"/>
    </w:pPr>
    <w:rPr>
      <w:rFonts w:eastAsiaTheme="majorEastAsia"/>
      <w:color w:val="4297DC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92A"/>
    <w:pPr>
      <w:keepNext/>
      <w:keepLines/>
      <w:spacing w:after="0"/>
      <w:outlineLvl w:val="7"/>
    </w:pPr>
    <w:rPr>
      <w:rFonts w:eastAsiaTheme="majorEastAsia"/>
      <w:i/>
      <w:iCs/>
      <w:color w:val="2275B9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92A"/>
    <w:pPr>
      <w:keepNext/>
      <w:keepLines/>
      <w:spacing w:after="0"/>
      <w:outlineLvl w:val="8"/>
    </w:pPr>
    <w:rPr>
      <w:rFonts w:eastAsiaTheme="majorEastAsia"/>
      <w:color w:val="2275B9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EFA"/>
    <w:rPr>
      <w:rFonts w:ascii="Work Sans SemiBold" w:eastAsiaTheme="majorEastAsia" w:hAnsi="Work Sans SemiBold"/>
      <w:color w:val="FFFFFF"/>
      <w:sz w:val="80"/>
    </w:rPr>
  </w:style>
  <w:style w:type="character" w:customStyle="1" w:styleId="Heading2Char">
    <w:name w:val="Heading 2 Char"/>
    <w:basedOn w:val="DefaultParagraphFont"/>
    <w:link w:val="Heading2"/>
    <w:uiPriority w:val="9"/>
    <w:rsid w:val="006C7239"/>
    <w:rPr>
      <w:rFonts w:ascii="Work Sans SemiBold" w:eastAsiaTheme="majorEastAsia" w:hAnsi="Work Sans SemiBold"/>
      <w:color w:val="1A5A8D" w:themeColor="accent3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92A"/>
    <w:rPr>
      <w:rFonts w:eastAsiaTheme="majorEastAsia" w:cstheme="majorBidi"/>
      <w:color w:val="2DA1A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92A"/>
    <w:rPr>
      <w:rFonts w:eastAsiaTheme="majorEastAsia" w:cstheme="majorBidi"/>
      <w:i/>
      <w:iCs/>
      <w:color w:val="2DA1A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92A"/>
    <w:rPr>
      <w:rFonts w:eastAsiaTheme="majorEastAsia" w:cstheme="majorBidi"/>
      <w:color w:val="2DA1A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92A"/>
    <w:rPr>
      <w:rFonts w:eastAsiaTheme="majorEastAsia" w:cstheme="majorBidi"/>
      <w:i/>
      <w:iCs/>
      <w:color w:val="4297DC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92A"/>
    <w:rPr>
      <w:rFonts w:eastAsiaTheme="majorEastAsia" w:cstheme="majorBidi"/>
      <w:color w:val="4297DC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92A"/>
    <w:rPr>
      <w:rFonts w:eastAsiaTheme="majorEastAsia" w:cstheme="majorBidi"/>
      <w:i/>
      <w:iCs/>
      <w:color w:val="2275B9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92A"/>
    <w:rPr>
      <w:rFonts w:eastAsiaTheme="majorEastAsia" w:cstheme="majorBidi"/>
      <w:color w:val="2275B9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92A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92A"/>
    <w:pPr>
      <w:numPr>
        <w:ilvl w:val="1"/>
      </w:numPr>
    </w:pPr>
    <w:rPr>
      <w:rFonts w:eastAsiaTheme="majorEastAsia"/>
      <w:color w:val="4297DC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92A"/>
    <w:rPr>
      <w:rFonts w:eastAsiaTheme="majorEastAsia" w:cstheme="majorBidi"/>
      <w:color w:val="4297DC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92A"/>
    <w:pPr>
      <w:spacing w:before="160"/>
      <w:jc w:val="center"/>
    </w:pPr>
    <w:rPr>
      <w:i/>
      <w:iCs/>
      <w:color w:val="2787D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92A"/>
    <w:rPr>
      <w:i/>
      <w:iCs/>
      <w:color w:val="2787D5" w:themeColor="text1" w:themeTint="BF"/>
    </w:rPr>
  </w:style>
  <w:style w:type="paragraph" w:styleId="ListParagraph">
    <w:name w:val="List Paragraph"/>
    <w:basedOn w:val="Normal"/>
    <w:uiPriority w:val="34"/>
    <w:qFormat/>
    <w:rsid w:val="00736E8C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B4592A"/>
    <w:rPr>
      <w:i/>
      <w:iCs/>
      <w:color w:val="2DA1A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92A"/>
    <w:pPr>
      <w:pBdr>
        <w:top w:val="single" w:sz="4" w:space="10" w:color="2DA1AF" w:themeColor="accent1" w:themeShade="BF"/>
        <w:bottom w:val="single" w:sz="4" w:space="10" w:color="2DA1AF" w:themeColor="accent1" w:themeShade="BF"/>
      </w:pBdr>
      <w:spacing w:before="360" w:after="360"/>
      <w:ind w:left="864" w:right="864"/>
      <w:jc w:val="center"/>
    </w:pPr>
    <w:rPr>
      <w:i/>
      <w:iCs/>
      <w:color w:val="2DA1A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92A"/>
    <w:rPr>
      <w:i/>
      <w:iCs/>
      <w:color w:val="2DA1A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92A"/>
    <w:rPr>
      <w:b/>
      <w:bCs/>
      <w:smallCaps/>
      <w:color w:val="2DA1A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5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92A"/>
  </w:style>
  <w:style w:type="paragraph" w:styleId="Footer">
    <w:name w:val="footer"/>
    <w:basedOn w:val="Normal"/>
    <w:link w:val="FooterChar"/>
    <w:uiPriority w:val="99"/>
    <w:unhideWhenUsed/>
    <w:qFormat/>
    <w:rsid w:val="00B45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92A"/>
  </w:style>
  <w:style w:type="character" w:styleId="Hyperlink">
    <w:name w:val="Hyperlink"/>
    <w:basedOn w:val="DefaultParagraphFont"/>
    <w:uiPriority w:val="99"/>
    <w:unhideWhenUsed/>
    <w:rsid w:val="000C56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6B3"/>
    <w:rPr>
      <w:color w:val="605E5C"/>
      <w:shd w:val="clear" w:color="auto" w:fill="E1DFDD"/>
    </w:rPr>
  </w:style>
  <w:style w:type="paragraph" w:customStyle="1" w:styleId="Address">
    <w:name w:val="Address"/>
    <w:basedOn w:val="Normal"/>
    <w:next w:val="Normal"/>
    <w:qFormat/>
    <w:rsid w:val="0001178B"/>
    <w:pPr>
      <w:spacing w:before="0" w:after="0"/>
    </w:pPr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D71A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2EF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2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2E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2E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E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legislation.gov.au/C2022A00088/latest/tex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acc.gov.au/corruption-prevention-and-education/prevention-and-education-resources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nacc.gov.au/commonwealth-integrity-maturity-framewor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legislation.gov.au/C2013A00133/latest/tex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http://www.nacc.gov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orayAdal\AppData\Local\Microsoft\Windows\INetCache\Content.Outlook\ZSB4CM29\nacc.gov.au" TargetMode="External"/></Relationships>
</file>

<file path=word/theme/theme1.xml><?xml version="1.0" encoding="utf-8"?>
<a:theme xmlns:a="http://schemas.openxmlformats.org/drawingml/2006/main" name="NACC">
  <a:themeElements>
    <a:clrScheme name="Factsheets">
      <a:dk1>
        <a:srgbClr val="1A5A8D"/>
      </a:dk1>
      <a:lt1>
        <a:srgbClr val="E1E8F6"/>
      </a:lt1>
      <a:dk2>
        <a:srgbClr val="44546A"/>
      </a:dk2>
      <a:lt2>
        <a:srgbClr val="F1F4FA"/>
      </a:lt2>
      <a:accent1>
        <a:srgbClr val="54C6D3"/>
      </a:accent1>
      <a:accent2>
        <a:srgbClr val="19B1C3"/>
      </a:accent2>
      <a:accent3>
        <a:srgbClr val="1A5A8D"/>
      </a:accent3>
      <a:accent4>
        <a:srgbClr val="44546A"/>
      </a:accent4>
      <a:accent5>
        <a:srgbClr val="FFFFFF"/>
      </a:accent5>
      <a:accent6>
        <a:srgbClr val="2F3A48"/>
      </a:accent6>
      <a:hlink>
        <a:srgbClr val="0563C1"/>
      </a:hlink>
      <a:folHlink>
        <a:srgbClr val="954F72"/>
      </a:folHlink>
    </a:clrScheme>
    <a:fontScheme name="NACC">
      <a:majorFont>
        <a:latin typeface="Work Sans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16ae24-60f4-4d67-acbd-1267dac1a8d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d2e9e14e-99e1-497c-83a5-3b28ccefc3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28C2B40F6724F9AAF18514AA7FE31" ma:contentTypeVersion="17" ma:contentTypeDescription="Create a new document." ma:contentTypeScope="" ma:versionID="de39e4fc0fc1f083afea78accd9a1714">
  <xsd:schema xmlns:xsd="http://www.w3.org/2001/XMLSchema" xmlns:xs="http://www.w3.org/2001/XMLSchema" xmlns:p="http://schemas.microsoft.com/office/2006/metadata/properties" xmlns:ns1="http://schemas.microsoft.com/sharepoint/v3" xmlns:ns2="d2e9e14e-99e1-497c-83a5-3b28ccefc3c2" xmlns:ns3="1316ae24-60f4-4d67-acbd-1267dac1a8d7" targetNamespace="http://schemas.microsoft.com/office/2006/metadata/properties" ma:root="true" ma:fieldsID="423fd13ccd5148220fb97f6ef89271cc" ns1:_="" ns2:_="" ns3:_="">
    <xsd:import namespace="http://schemas.microsoft.com/sharepoint/v3"/>
    <xsd:import namespace="d2e9e14e-99e1-497c-83a5-3b28ccefc3c2"/>
    <xsd:import namespace="1316ae24-60f4-4d67-acbd-1267dac1a8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9e14e-99e1-497c-83a5-3b28ccefc3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eccb3dc-ee57-4dc3-a21f-2c7a2df248d7}" ma:internalName="TaxCatchAll" ma:showField="CatchAllData" ma:web="d2e9e14e-99e1-497c-83a5-3b28ccefc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6ae24-60f4-4d67-acbd-1267dac1a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4fff482-d92e-4230-8274-7db54dbfc7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2D367B-F814-41EB-BE3A-A44D7EA2D4F9}">
  <ds:schemaRefs>
    <ds:schemaRef ds:uri="http://purl.org/dc/elements/1.1/"/>
    <ds:schemaRef ds:uri="http://schemas.openxmlformats.org/package/2006/metadata/core-properties"/>
    <ds:schemaRef ds:uri="http://purl.org/dc/dcmitype/"/>
    <ds:schemaRef ds:uri="1316ae24-60f4-4d67-acbd-1267dac1a8d7"/>
    <ds:schemaRef ds:uri="http://schemas.microsoft.com/office/2006/metadata/properties"/>
    <ds:schemaRef ds:uri="http://www.w3.org/XML/1998/namespace"/>
    <ds:schemaRef ds:uri="d2e9e14e-99e1-497c-83a5-3b28ccefc3c2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5F650CD-051D-4092-99FB-148B43EE1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BB6C1-9ADA-4134-B792-ED2BC120D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e9e14e-99e1-497c-83a5-3b28ccefc3c2"/>
    <ds:schemaRef ds:uri="1316ae24-60f4-4d67-acbd-1267dac1a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375</Words>
  <Characters>2028</Characters>
  <Application>Microsoft Office Word</Application>
  <DocSecurity>0</DocSecurity>
  <Lines>50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Aligning with the NACC Act</dc:title>
  <dc:subject/>
  <dc:creator>meda@nacc.gov.au</dc:creator>
  <cp:keywords/>
  <dc:description/>
  <cp:lastModifiedBy>Amy ter Bogt</cp:lastModifiedBy>
  <cp:revision>3</cp:revision>
  <dcterms:created xsi:type="dcterms:W3CDTF">2024-07-09T04:40:00Z</dcterms:created>
  <dcterms:modified xsi:type="dcterms:W3CDTF">2024-07-09T04:44:00Z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75540a40,388d4624,46ec25a7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6a95ff66,287708b2,10e47905,49a659f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0x01010032528C2B40F6724F9AAF18514AA7FE31</vt:lpwstr>
  </property>
  <property fmtid="{D5CDD505-2E9C-101B-9397-08002B2CF9AE}" pid="9" name="MediaServiceImageTags">
    <vt:lpwstr/>
  </property>
  <property fmtid="{D5CDD505-2E9C-101B-9397-08002B2CF9AE}" pid="10" name="MSIP_Label_4ba86659-d6e4-4b6d-88ae-202639b32f10_Enabled">
    <vt:lpwstr>true</vt:lpwstr>
  </property>
  <property fmtid="{D5CDD505-2E9C-101B-9397-08002B2CF9AE}" pid="11" name="MSIP_Label_4ba86659-d6e4-4b6d-88ae-202639b32f10_SetDate">
    <vt:lpwstr>2024-06-20T02:07:23Z</vt:lpwstr>
  </property>
  <property fmtid="{D5CDD505-2E9C-101B-9397-08002B2CF9AE}" pid="12" name="MSIP_Label_4ba86659-d6e4-4b6d-88ae-202639b32f10_Method">
    <vt:lpwstr>Privileged</vt:lpwstr>
  </property>
  <property fmtid="{D5CDD505-2E9C-101B-9397-08002B2CF9AE}" pid="13" name="MSIP_Label_4ba86659-d6e4-4b6d-88ae-202639b32f10_Name">
    <vt:lpwstr>58a895b5-cb81-4777-98ae-74e2a157223f</vt:lpwstr>
  </property>
  <property fmtid="{D5CDD505-2E9C-101B-9397-08002B2CF9AE}" pid="14" name="MSIP_Label_4ba86659-d6e4-4b6d-88ae-202639b32f10_SiteId">
    <vt:lpwstr>f7f84514-8dcd-479a-9ae7-7501fc047b54</vt:lpwstr>
  </property>
  <property fmtid="{D5CDD505-2E9C-101B-9397-08002B2CF9AE}" pid="15" name="MSIP_Label_4ba86659-d6e4-4b6d-88ae-202639b32f10_ActionId">
    <vt:lpwstr>fe1f5327-07d9-4eca-b9b8-c01edf7927b6</vt:lpwstr>
  </property>
  <property fmtid="{D5CDD505-2E9C-101B-9397-08002B2CF9AE}" pid="16" name="MSIP_Label_4ba86659-d6e4-4b6d-88ae-202639b32f10_ContentBits">
    <vt:lpwstr>3</vt:lpwstr>
  </property>
</Properties>
</file>