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FB936" w14:textId="1FCC4E2F" w:rsidR="000C56B3" w:rsidRPr="006D0A81" w:rsidRDefault="00887067" w:rsidP="00887067">
      <w:pPr>
        <w:spacing w:after="120"/>
        <w:rPr>
          <w:rFonts w:asciiTheme="minorHAnsi" w:hAnsiTheme="minorHAnsi"/>
        </w:rPr>
      </w:pPr>
      <w:r w:rsidRPr="006D0A81">
        <w:rPr>
          <w:rFonts w:asciiTheme="minorHAnsi" w:hAnsiTheme="minorHAnsi"/>
          <w:noProof/>
        </w:rPr>
        <w:drawing>
          <wp:anchor distT="0" distB="0" distL="114300" distR="114300" simplePos="0" relativeHeight="251658240" behindDoc="1" locked="0" layoutInCell="1" allowOverlap="1" wp14:anchorId="6B5581BE" wp14:editId="433B0759">
            <wp:simplePos x="0" y="0"/>
            <wp:positionH relativeFrom="column">
              <wp:posOffset>-1248410</wp:posOffset>
            </wp:positionH>
            <wp:positionV relativeFrom="page">
              <wp:posOffset>79</wp:posOffset>
            </wp:positionV>
            <wp:extent cx="7909200" cy="11185200"/>
            <wp:effectExtent l="0" t="0" r="0" b="0"/>
            <wp:wrapNone/>
            <wp:docPr id="841063964"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63964" name="Picture 2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9200" cy="11185200"/>
                    </a:xfrm>
                    <a:prstGeom prst="rect">
                      <a:avLst/>
                    </a:prstGeom>
                  </pic:spPr>
                </pic:pic>
              </a:graphicData>
            </a:graphic>
            <wp14:sizeRelH relativeFrom="margin">
              <wp14:pctWidth>0</wp14:pctWidth>
            </wp14:sizeRelH>
            <wp14:sizeRelV relativeFrom="margin">
              <wp14:pctHeight>0</wp14:pctHeight>
            </wp14:sizeRelV>
          </wp:anchor>
        </w:drawing>
      </w:r>
      <w:r w:rsidR="000C56B3" w:rsidRPr="006D0A81">
        <w:rPr>
          <w:rFonts w:asciiTheme="minorHAnsi" w:hAnsiTheme="minorHAnsi"/>
          <w:noProof/>
        </w:rPr>
        <w:drawing>
          <wp:inline distT="0" distB="0" distL="0" distR="0" wp14:anchorId="7147A6AE" wp14:editId="5AF1B54D">
            <wp:extent cx="3187337" cy="598200"/>
            <wp:effectExtent l="0" t="0" r="0" b="0"/>
            <wp:docPr id="659082661" name="Picture 8" descr="National Anti-Corrup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2661" name="Picture 8" descr="National Anti-Corruptio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6927" cy="613137"/>
                    </a:xfrm>
                    <a:prstGeom prst="rect">
                      <a:avLst/>
                    </a:prstGeom>
                  </pic:spPr>
                </pic:pic>
              </a:graphicData>
            </a:graphic>
          </wp:inline>
        </w:drawing>
      </w:r>
    </w:p>
    <w:p w14:paraId="32B265EC" w14:textId="6C238533" w:rsidR="006177AC" w:rsidRPr="006D0A81" w:rsidRDefault="00A122A1" w:rsidP="00CC7A3B">
      <w:pPr>
        <w:autoSpaceDE w:val="0"/>
        <w:autoSpaceDN w:val="0"/>
        <w:adjustRightInd w:val="0"/>
        <w:spacing w:before="0" w:after="1920" w:line="240" w:lineRule="auto"/>
        <w:rPr>
          <w:rFonts w:asciiTheme="minorHAnsi" w:hAnsiTheme="minorHAnsi" w:cs="WorkSans-SemiBold"/>
          <w:b/>
          <w:bCs/>
          <w:color w:val="FFFFFF"/>
          <w:kern w:val="0"/>
          <w:sz w:val="66"/>
          <w:szCs w:val="66"/>
        </w:rPr>
        <w:sectPr w:rsidR="006177AC" w:rsidRPr="006D0A81" w:rsidSect="00887067">
          <w:headerReference w:type="even" r:id="rId13"/>
          <w:headerReference w:type="default" r:id="rId14"/>
          <w:footerReference w:type="even" r:id="rId15"/>
          <w:footerReference w:type="default" r:id="rId16"/>
          <w:headerReference w:type="first" r:id="rId17"/>
          <w:footerReference w:type="first" r:id="rId18"/>
          <w:pgSz w:w="11906" w:h="16838"/>
          <w:pgMar w:top="335" w:right="1440" w:bottom="1440" w:left="1440" w:header="0" w:footer="709" w:gutter="0"/>
          <w:cols w:space="708"/>
          <w:titlePg/>
          <w:docGrid w:linePitch="360"/>
        </w:sectPr>
      </w:pPr>
      <w:r w:rsidRPr="006D0A81">
        <w:rPr>
          <w:rFonts w:asciiTheme="minorHAnsi" w:hAnsiTheme="minorHAnsi" w:cs="WorkSans-SemiBold"/>
          <w:b/>
          <w:bCs/>
          <w:color w:val="FFFFFF"/>
          <w:kern w:val="0"/>
          <w:sz w:val="66"/>
          <w:szCs w:val="66"/>
        </w:rPr>
        <w:t>Contracted service providers, grant recipients and</w:t>
      </w:r>
      <w:r w:rsidR="006D0A81" w:rsidRPr="006D0A81">
        <w:rPr>
          <w:rFonts w:asciiTheme="minorHAnsi" w:hAnsiTheme="minorHAnsi" w:cs="WorkSans-SemiBold"/>
          <w:b/>
          <w:bCs/>
          <w:color w:val="FFFFFF"/>
          <w:kern w:val="0"/>
          <w:sz w:val="66"/>
          <w:szCs w:val="66"/>
        </w:rPr>
        <w:t xml:space="preserve"> </w:t>
      </w:r>
      <w:r w:rsidR="00CC7A3B" w:rsidRPr="006D0A81">
        <w:rPr>
          <w:rFonts w:asciiTheme="minorHAnsi" w:hAnsiTheme="minorHAnsi" w:cs="WorkSans-SemiBold"/>
          <w:b/>
          <w:bCs/>
          <w:color w:val="FFFFFF"/>
          <w:kern w:val="0"/>
          <w:sz w:val="66"/>
          <w:szCs w:val="66"/>
        </w:rPr>
        <w:t>the NACC</w:t>
      </w:r>
    </w:p>
    <w:p w14:paraId="442E8415" w14:textId="695355CF" w:rsidR="00CC7A3B" w:rsidRPr="006D0A81" w:rsidRDefault="00A122A1" w:rsidP="00CC7A3B">
      <w:pPr>
        <w:rPr>
          <w:rFonts w:asciiTheme="minorHAnsi" w:hAnsiTheme="minorHAnsi"/>
          <w:noProof/>
          <w:color w:val="1A5A8D" w:themeColor="text1"/>
          <w:sz w:val="32"/>
          <w:szCs w:val="32"/>
        </w:rPr>
      </w:pPr>
      <w:r w:rsidRPr="006D0A81">
        <w:rPr>
          <w:rFonts w:asciiTheme="minorHAnsi" w:hAnsiTheme="minorHAnsi"/>
          <w:noProof/>
          <w:color w:val="1A5A8D" w:themeColor="text1"/>
          <w:sz w:val="32"/>
          <w:szCs w:val="32"/>
        </w:rPr>
        <w:t>This fact sheet explains how service providers contracted by Government agencies and grant recipients are within the jurisdiction of the National Anti-Corruption Commission (the Commission).</w:t>
      </w:r>
    </w:p>
    <w:p w14:paraId="15E2DC5C" w14:textId="573B88B5" w:rsidR="00821C5B" w:rsidRPr="006D0A81" w:rsidRDefault="00821C5B" w:rsidP="00821C5B">
      <w:pPr>
        <w:rPr>
          <w:rFonts w:asciiTheme="minorHAnsi" w:hAnsiTheme="minorHAnsi"/>
        </w:rPr>
      </w:pPr>
      <w:r w:rsidRPr="006D0A81">
        <w:rPr>
          <w:rFonts w:asciiTheme="minorHAnsi" w:hAnsiTheme="minorHAnsi"/>
        </w:rPr>
        <w:t xml:space="preserve">Public officials are defined in the National Anti-Corruption Commission Act 2022 (the Act) as </w:t>
      </w:r>
      <w:r w:rsidRPr="006D0A81">
        <w:rPr>
          <w:rFonts w:asciiTheme="minorHAnsi" w:hAnsiTheme="minorHAnsi"/>
          <w:b/>
          <w:bCs/>
        </w:rPr>
        <w:t>staff members of a Commonwealth agency</w:t>
      </w:r>
      <w:r w:rsidRPr="006D0A81">
        <w:rPr>
          <w:rFonts w:asciiTheme="minorHAnsi" w:hAnsiTheme="minorHAnsi"/>
        </w:rPr>
        <w:t xml:space="preserve">, staff members of the Commission </w:t>
      </w:r>
      <w:r w:rsidR="006D0A81" w:rsidRPr="006D0A81">
        <w:rPr>
          <w:rFonts w:asciiTheme="minorHAnsi" w:hAnsiTheme="minorHAnsi"/>
        </w:rPr>
        <w:t>and parliamentarians</w:t>
      </w:r>
      <w:r w:rsidRPr="006D0A81">
        <w:rPr>
          <w:rFonts w:asciiTheme="minorHAnsi" w:hAnsiTheme="minorHAnsi"/>
        </w:rPr>
        <w:t>.</w:t>
      </w:r>
      <w:r w:rsidRPr="006D0A81">
        <w:rPr>
          <w:rStyle w:val="FootnoteReference"/>
          <w:rFonts w:asciiTheme="minorHAnsi" w:hAnsiTheme="minorHAnsi"/>
        </w:rPr>
        <w:footnoteReference w:id="2"/>
      </w:r>
    </w:p>
    <w:p w14:paraId="3B2C81B3" w14:textId="77777777" w:rsidR="00821C5B" w:rsidRPr="006D0A81" w:rsidRDefault="00821C5B" w:rsidP="00821C5B">
      <w:pPr>
        <w:rPr>
          <w:rFonts w:asciiTheme="minorHAnsi" w:hAnsiTheme="minorHAnsi"/>
        </w:rPr>
      </w:pPr>
      <w:r w:rsidRPr="006D0A81">
        <w:rPr>
          <w:rFonts w:asciiTheme="minorHAnsi" w:hAnsiTheme="minorHAnsi"/>
        </w:rPr>
        <w:t xml:space="preserve">Where a Commonwealth agency is responsible for administering a contract to deliver goods and services to or on behalf of the Commonwealth (Commonwealth contract), the definition of a </w:t>
      </w:r>
      <w:r w:rsidRPr="006D0A81">
        <w:rPr>
          <w:rFonts w:asciiTheme="minorHAnsi" w:hAnsiTheme="minorHAnsi"/>
          <w:b/>
          <w:bCs/>
        </w:rPr>
        <w:t>staff member of a Commonwealth agency</w:t>
      </w:r>
      <w:r w:rsidRPr="006D0A81">
        <w:rPr>
          <w:rFonts w:asciiTheme="minorHAnsi" w:hAnsiTheme="minorHAnsi"/>
        </w:rPr>
        <w:t xml:space="preserve"> also includes an individual who is:</w:t>
      </w:r>
    </w:p>
    <w:p w14:paraId="3578866C" w14:textId="77777777" w:rsidR="00821C5B" w:rsidRPr="006D0A81" w:rsidRDefault="00821C5B" w:rsidP="00821C5B">
      <w:pPr>
        <w:pStyle w:val="IndentBullet1"/>
        <w:numPr>
          <w:ilvl w:val="0"/>
          <w:numId w:val="16"/>
        </w:numPr>
        <w:rPr>
          <w:rFonts w:asciiTheme="minorHAnsi" w:hAnsiTheme="minorHAnsi"/>
        </w:rPr>
      </w:pPr>
      <w:r w:rsidRPr="006D0A81">
        <w:rPr>
          <w:rFonts w:asciiTheme="minorHAnsi" w:hAnsiTheme="minorHAnsi"/>
        </w:rPr>
        <w:lastRenderedPageBreak/>
        <w:t>a party to the contract, or a subcontractor, who is responsible for the provision of goods or services under the contract (contracted service provider)</w:t>
      </w:r>
    </w:p>
    <w:p w14:paraId="6BC9A144" w14:textId="77777777" w:rsidR="00821C5B" w:rsidRPr="006D0A81" w:rsidRDefault="00821C5B" w:rsidP="00821C5B">
      <w:pPr>
        <w:pStyle w:val="IndentBullet1"/>
        <w:numPr>
          <w:ilvl w:val="0"/>
          <w:numId w:val="16"/>
        </w:numPr>
        <w:rPr>
          <w:rFonts w:asciiTheme="minorHAnsi" w:hAnsiTheme="minorHAnsi"/>
        </w:rPr>
      </w:pPr>
      <w:r w:rsidRPr="006D0A81">
        <w:rPr>
          <w:rFonts w:asciiTheme="minorHAnsi" w:hAnsiTheme="minorHAnsi"/>
        </w:rPr>
        <w:t>an officer or employee of a contracted service provider, who provides goods and services for the purposes (whether direct or indirect) of the contract.</w:t>
      </w:r>
    </w:p>
    <w:p w14:paraId="313CAB36" w14:textId="77777777" w:rsidR="00821C5B" w:rsidRPr="006D0A81" w:rsidRDefault="00821C5B" w:rsidP="00821C5B">
      <w:pPr>
        <w:rPr>
          <w:rFonts w:asciiTheme="minorHAnsi" w:hAnsiTheme="minorHAnsi"/>
        </w:rPr>
      </w:pPr>
      <w:r w:rsidRPr="006D0A81">
        <w:rPr>
          <w:rFonts w:asciiTheme="minorHAnsi" w:hAnsiTheme="minorHAnsi"/>
        </w:rPr>
        <w:t xml:space="preserve">This means individuals who are contracted service providers (including subcontractors), and officers or employees of contracted service providers who provide goods or services under the contract, are </w:t>
      </w:r>
      <w:r w:rsidRPr="006D0A81">
        <w:rPr>
          <w:rFonts w:asciiTheme="minorHAnsi" w:hAnsiTheme="minorHAnsi"/>
          <w:b/>
          <w:bCs/>
        </w:rPr>
        <w:t>public officials</w:t>
      </w:r>
      <w:r w:rsidRPr="006D0A81">
        <w:rPr>
          <w:rFonts w:asciiTheme="minorHAnsi" w:hAnsiTheme="minorHAnsi"/>
        </w:rPr>
        <w:t xml:space="preserve"> and are within the jurisdiction of the Commission.</w:t>
      </w:r>
    </w:p>
    <w:p w14:paraId="7F80F3AE" w14:textId="77777777" w:rsidR="00821C5B" w:rsidRPr="006D0A81" w:rsidRDefault="00821C5B" w:rsidP="00821C5B">
      <w:pPr>
        <w:rPr>
          <w:rFonts w:asciiTheme="minorHAnsi" w:hAnsiTheme="minorHAnsi"/>
        </w:rPr>
      </w:pPr>
      <w:r w:rsidRPr="006D0A81">
        <w:rPr>
          <w:rFonts w:asciiTheme="minorHAnsi" w:hAnsiTheme="minorHAnsi"/>
        </w:rPr>
        <w:t>The following further explains the Commission’s jurisdiction with respect to contracted service providers.</w:t>
      </w:r>
    </w:p>
    <w:p w14:paraId="11115BD7" w14:textId="77777777" w:rsidR="00821C5B" w:rsidRPr="006D0A81" w:rsidRDefault="00821C5B" w:rsidP="00821C5B">
      <w:pPr>
        <w:pStyle w:val="Heading2"/>
        <w:rPr>
          <w:rFonts w:asciiTheme="minorHAnsi" w:hAnsiTheme="minorHAnsi"/>
        </w:rPr>
      </w:pPr>
      <w:r w:rsidRPr="006D0A81">
        <w:rPr>
          <w:rFonts w:asciiTheme="minorHAnsi" w:hAnsiTheme="minorHAnsi"/>
        </w:rPr>
        <w:t>Commonwealth contract</w:t>
      </w:r>
    </w:p>
    <w:p w14:paraId="61FD03DF" w14:textId="77777777" w:rsidR="00821C5B" w:rsidRPr="006D0A81" w:rsidRDefault="00821C5B" w:rsidP="00821C5B">
      <w:pPr>
        <w:rPr>
          <w:rFonts w:asciiTheme="minorHAnsi" w:hAnsiTheme="minorHAnsi"/>
        </w:rPr>
      </w:pPr>
      <w:r w:rsidRPr="006D0A81">
        <w:rPr>
          <w:rFonts w:asciiTheme="minorHAnsi" w:hAnsiTheme="minorHAnsi"/>
        </w:rPr>
        <w:t xml:space="preserve">A Commonwealth contract exists where the Commonwealth or a Commonwealth agency is a party to a contract. Goods or services (or both) must be being provided </w:t>
      </w:r>
      <w:r w:rsidRPr="006D0A81">
        <w:rPr>
          <w:rFonts w:asciiTheme="minorHAnsi" w:hAnsiTheme="minorHAnsi"/>
          <w:b/>
          <w:bCs/>
        </w:rPr>
        <w:t>to</w:t>
      </w:r>
      <w:r w:rsidRPr="006D0A81">
        <w:rPr>
          <w:rFonts w:asciiTheme="minorHAnsi" w:hAnsiTheme="minorHAnsi"/>
        </w:rPr>
        <w:t xml:space="preserve"> the Commonwealth or the agency, or the goods or services are being provided </w:t>
      </w:r>
      <w:r w:rsidRPr="006D0A81">
        <w:rPr>
          <w:rFonts w:asciiTheme="minorHAnsi" w:hAnsiTheme="minorHAnsi"/>
          <w:b/>
          <w:bCs/>
        </w:rPr>
        <w:t>in connection with activities</w:t>
      </w:r>
      <w:r w:rsidRPr="006D0A81">
        <w:rPr>
          <w:rFonts w:asciiTheme="minorHAnsi" w:hAnsiTheme="minorHAnsi"/>
        </w:rPr>
        <w:t xml:space="preserve"> of the Commonwealth or agency.</w:t>
      </w:r>
    </w:p>
    <w:p w14:paraId="52BB974E" w14:textId="77777777" w:rsidR="00821C5B" w:rsidRPr="006D0A81" w:rsidRDefault="00821C5B" w:rsidP="00821C5B">
      <w:p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Examples of Commonwealth contracts include a contract to:</w:t>
      </w:r>
    </w:p>
    <w:p w14:paraId="01A861A8" w14:textId="77777777" w:rsidR="00821C5B" w:rsidRPr="006D0A81" w:rsidRDefault="00821C5B" w:rsidP="00821C5B">
      <w:pPr>
        <w:pStyle w:val="ListParagraph"/>
        <w:numPr>
          <w:ilvl w:val="0"/>
          <w:numId w:val="17"/>
        </w:num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provide IT services to a Commonwealth agency</w:t>
      </w:r>
    </w:p>
    <w:p w14:paraId="33B72719" w14:textId="77777777" w:rsidR="00821C5B" w:rsidRPr="006D0A81" w:rsidRDefault="00821C5B" w:rsidP="00821C5B">
      <w:pPr>
        <w:pStyle w:val="ListParagraph"/>
        <w:numPr>
          <w:ilvl w:val="0"/>
          <w:numId w:val="17"/>
        </w:num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operate a Commonwealth facility on behalf of the Commonwealth (such as an immigration detention centre)</w:t>
      </w:r>
    </w:p>
    <w:p w14:paraId="1463C559" w14:textId="77777777" w:rsidR="00821C5B" w:rsidRPr="006D0A81" w:rsidRDefault="00821C5B" w:rsidP="00821C5B">
      <w:pPr>
        <w:pStyle w:val="ListParagraph"/>
        <w:numPr>
          <w:ilvl w:val="0"/>
          <w:numId w:val="17"/>
        </w:num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provide a service to the Commonwealth, such as legal services</w:t>
      </w:r>
    </w:p>
    <w:p w14:paraId="5296AF73" w14:textId="77777777" w:rsidR="00821C5B" w:rsidRPr="006D0A81" w:rsidRDefault="00821C5B" w:rsidP="00821C5B">
      <w:pPr>
        <w:pStyle w:val="ListParagraph"/>
        <w:numPr>
          <w:ilvl w:val="0"/>
          <w:numId w:val="17"/>
        </w:num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operate a call centre on behalf of a Commonwealth agency.</w:t>
      </w:r>
    </w:p>
    <w:p w14:paraId="79D5B53D" w14:textId="77777777" w:rsidR="00821C5B" w:rsidRPr="006D0A81" w:rsidRDefault="00821C5B" w:rsidP="00821C5B">
      <w:pPr>
        <w:pStyle w:val="Heading2"/>
        <w:rPr>
          <w:rFonts w:asciiTheme="minorHAnsi" w:hAnsiTheme="minorHAnsi"/>
        </w:rPr>
      </w:pPr>
      <w:r w:rsidRPr="006D0A81">
        <w:rPr>
          <w:rFonts w:asciiTheme="minorHAnsi" w:hAnsiTheme="minorHAnsi"/>
        </w:rPr>
        <w:lastRenderedPageBreak/>
        <w:t>Contracted service provider</w:t>
      </w:r>
    </w:p>
    <w:p w14:paraId="1696E13F" w14:textId="77777777" w:rsidR="00821C5B" w:rsidRPr="006D0A81" w:rsidRDefault="00821C5B" w:rsidP="00821C5B">
      <w:pPr>
        <w:rPr>
          <w:rFonts w:asciiTheme="minorHAnsi" w:hAnsiTheme="minorHAnsi"/>
        </w:rPr>
      </w:pPr>
      <w:r w:rsidRPr="006D0A81">
        <w:rPr>
          <w:rFonts w:asciiTheme="minorHAnsi" w:hAnsiTheme="minorHAnsi"/>
        </w:rPr>
        <w:t>A contracted service provider is a person who is a party to a Commonwealth contract or is a party to a subcontract with a contracted service provider and is responsible for the provision of goods or services under the contract, either directly or indirectly.</w:t>
      </w:r>
    </w:p>
    <w:p w14:paraId="354BD992" w14:textId="77777777" w:rsidR="00821C5B" w:rsidRPr="006D0A81" w:rsidRDefault="00821C5B" w:rsidP="004B2B7E">
      <w:p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Examples of contracted service providers include:</w:t>
      </w:r>
    </w:p>
    <w:p w14:paraId="39E68BE8" w14:textId="77777777" w:rsidR="00821C5B" w:rsidRPr="006D0A81" w:rsidRDefault="00821C5B" w:rsidP="004B2B7E">
      <w:pPr>
        <w:pStyle w:val="ListParagraph"/>
        <w:numPr>
          <w:ilvl w:val="0"/>
          <w:numId w:val="18"/>
        </w:num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 xml:space="preserve">XYZ Airlines has a contract with the Commonwealth to provide air travel to Commonwealth employees throughout Australia - XYZ </w:t>
      </w:r>
      <w:r w:rsidRPr="006D0A81">
        <w:rPr>
          <w:rFonts w:asciiTheme="minorHAnsi" w:hAnsiTheme="minorHAnsi"/>
          <w:b/>
          <w:bCs/>
        </w:rPr>
        <w:t>is a contracted service provider.</w:t>
      </w:r>
    </w:p>
    <w:p w14:paraId="5C922343" w14:textId="77777777" w:rsidR="00821C5B" w:rsidRPr="006D0A81" w:rsidRDefault="00821C5B" w:rsidP="004B2B7E">
      <w:pPr>
        <w:pStyle w:val="ListParagraph"/>
        <w:numPr>
          <w:ilvl w:val="0"/>
          <w:numId w:val="18"/>
        </w:num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 xml:space="preserve">If XYZ subcontracts the provision of air travel in Tasmania to ABC Airways - ABC Airways </w:t>
      </w:r>
      <w:r w:rsidRPr="006D0A81">
        <w:rPr>
          <w:rFonts w:asciiTheme="minorHAnsi" w:hAnsiTheme="minorHAnsi"/>
          <w:b/>
          <w:bCs/>
        </w:rPr>
        <w:t>is a contracted service provider.</w:t>
      </w:r>
    </w:p>
    <w:p w14:paraId="6D5FB554" w14:textId="77777777" w:rsidR="00821C5B" w:rsidRPr="006D0A81" w:rsidRDefault="00821C5B" w:rsidP="004B2B7E">
      <w:pPr>
        <w:pStyle w:val="ListParagraph"/>
        <w:numPr>
          <w:ilvl w:val="0"/>
          <w:numId w:val="18"/>
        </w:num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 xml:space="preserve">If XYZ subcontracts </w:t>
      </w:r>
      <w:proofErr w:type="spellStart"/>
      <w:r w:rsidRPr="006D0A81">
        <w:rPr>
          <w:rFonts w:asciiTheme="minorHAnsi" w:hAnsiTheme="minorHAnsi"/>
        </w:rPr>
        <w:t>Baghandlers</w:t>
      </w:r>
      <w:proofErr w:type="spellEnd"/>
      <w:r w:rsidRPr="006D0A81">
        <w:rPr>
          <w:rFonts w:asciiTheme="minorHAnsi" w:hAnsiTheme="minorHAnsi"/>
        </w:rPr>
        <w:t xml:space="preserve"> to provide baggage handling services as part of the provision of travel services, </w:t>
      </w:r>
      <w:proofErr w:type="spellStart"/>
      <w:r w:rsidRPr="006D0A81">
        <w:rPr>
          <w:rFonts w:asciiTheme="minorHAnsi" w:hAnsiTheme="minorHAnsi"/>
        </w:rPr>
        <w:t>Baghandlers</w:t>
      </w:r>
      <w:proofErr w:type="spellEnd"/>
      <w:r w:rsidRPr="006D0A81">
        <w:rPr>
          <w:rFonts w:asciiTheme="minorHAnsi" w:hAnsiTheme="minorHAnsi"/>
        </w:rPr>
        <w:t xml:space="preserve"> </w:t>
      </w:r>
      <w:r w:rsidRPr="006D0A81">
        <w:rPr>
          <w:rFonts w:asciiTheme="minorHAnsi" w:hAnsiTheme="minorHAnsi"/>
          <w:b/>
          <w:bCs/>
        </w:rPr>
        <w:t>is a contracted service provider.</w:t>
      </w:r>
    </w:p>
    <w:p w14:paraId="0BBC3840" w14:textId="77777777" w:rsidR="00821C5B" w:rsidRPr="006D0A81" w:rsidRDefault="00821C5B" w:rsidP="004B2B7E">
      <w:pPr>
        <w:pStyle w:val="ListParagraph"/>
        <w:numPr>
          <w:ilvl w:val="0"/>
          <w:numId w:val="18"/>
        </w:num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 xml:space="preserve">However, if XYZ contracts Collar Clothing to provide uniforms for all its own employees, Collar Clothing is </w:t>
      </w:r>
      <w:r w:rsidRPr="006D0A81">
        <w:rPr>
          <w:rFonts w:asciiTheme="minorHAnsi" w:hAnsiTheme="minorHAnsi"/>
          <w:b/>
          <w:bCs/>
        </w:rPr>
        <w:t>not a contracted service provider</w:t>
      </w:r>
      <w:r w:rsidRPr="006D0A81">
        <w:rPr>
          <w:rFonts w:asciiTheme="minorHAnsi" w:hAnsiTheme="minorHAnsi"/>
        </w:rPr>
        <w:t xml:space="preserve"> because it is not for the purposes of the Commonwealth contract.</w:t>
      </w:r>
    </w:p>
    <w:p w14:paraId="383D6A23" w14:textId="77777777" w:rsidR="00821C5B" w:rsidRPr="006D0A81" w:rsidRDefault="00821C5B" w:rsidP="00821C5B">
      <w:pPr>
        <w:pStyle w:val="Heading2"/>
        <w:rPr>
          <w:rFonts w:asciiTheme="minorHAnsi" w:hAnsiTheme="minorHAnsi"/>
        </w:rPr>
      </w:pPr>
      <w:r w:rsidRPr="006D0A81">
        <w:rPr>
          <w:rFonts w:asciiTheme="minorHAnsi" w:hAnsiTheme="minorHAnsi"/>
        </w:rPr>
        <w:t>Staff member of a Commonwealth agency</w:t>
      </w:r>
    </w:p>
    <w:p w14:paraId="271D86ED" w14:textId="77777777" w:rsidR="00821C5B" w:rsidRPr="006D0A81" w:rsidRDefault="00821C5B" w:rsidP="00821C5B">
      <w:pPr>
        <w:rPr>
          <w:rFonts w:asciiTheme="minorHAnsi" w:hAnsiTheme="minorHAnsi"/>
        </w:rPr>
      </w:pPr>
      <w:r w:rsidRPr="006D0A81">
        <w:rPr>
          <w:rFonts w:asciiTheme="minorHAnsi" w:hAnsiTheme="minorHAnsi"/>
        </w:rPr>
        <w:t xml:space="preserve">For the purposes of the NACC Act, an individual who is a contracted service provider is a staff member of the Commonwealth agency responsible for administering the Commonwealth contract. </w:t>
      </w:r>
    </w:p>
    <w:p w14:paraId="32CDED24" w14:textId="77777777" w:rsidR="00821C5B" w:rsidRPr="006D0A81" w:rsidRDefault="00821C5B" w:rsidP="00821C5B">
      <w:pPr>
        <w:rPr>
          <w:rFonts w:asciiTheme="minorHAnsi" w:hAnsiTheme="minorHAnsi"/>
        </w:rPr>
      </w:pPr>
      <w:r w:rsidRPr="006D0A81">
        <w:rPr>
          <w:rFonts w:asciiTheme="minorHAnsi" w:hAnsiTheme="minorHAnsi"/>
        </w:rPr>
        <w:t>An officer or employee of a contracted service provider who provides goods or services for the purposes of the contract is also a staff member of the agency.</w:t>
      </w:r>
    </w:p>
    <w:p w14:paraId="210F5D04" w14:textId="77777777" w:rsidR="00821C5B" w:rsidRPr="006D0A81" w:rsidRDefault="00821C5B" w:rsidP="004B2B7E">
      <w:p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lastRenderedPageBreak/>
        <w:t>Examples of staff members of a Commonwealth agency include:</w:t>
      </w:r>
    </w:p>
    <w:p w14:paraId="65701B3F" w14:textId="77777777" w:rsidR="00821C5B" w:rsidRPr="006D0A81" w:rsidRDefault="00821C5B" w:rsidP="004B2B7E">
      <w:pPr>
        <w:pStyle w:val="ListParagraph"/>
        <w:numPr>
          <w:ilvl w:val="0"/>
          <w:numId w:val="19"/>
        </w:num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Australia Post contracts the delivery of mail in Tasmania to Devil Couriers, which then subcontracts the delivery of mail to the West Coast to Jane Citizen, an individual, then Jane Citizen would be a staff member of Australia Post.</w:t>
      </w:r>
    </w:p>
    <w:p w14:paraId="18D233F4" w14:textId="77777777" w:rsidR="00821C5B" w:rsidRPr="006D0A81" w:rsidRDefault="00821C5B" w:rsidP="004B2B7E">
      <w:pPr>
        <w:pStyle w:val="ListParagraph"/>
        <w:numPr>
          <w:ilvl w:val="0"/>
          <w:numId w:val="19"/>
        </w:numPr>
        <w:pBdr>
          <w:top w:val="single" w:sz="48" w:space="12" w:color="E1E8F6" w:themeColor="background1"/>
          <w:left w:val="single" w:sz="48" w:space="12" w:color="E1E8F6" w:themeColor="background1"/>
          <w:bottom w:val="single" w:sz="48" w:space="12" w:color="E1E8F6" w:themeColor="background1"/>
          <w:right w:val="single" w:sz="48" w:space="12" w:color="E1E8F6" w:themeColor="background1"/>
        </w:pBdr>
        <w:shd w:val="clear" w:color="auto" w:fill="E1E8F6" w:themeFill="background1"/>
        <w:rPr>
          <w:rFonts w:asciiTheme="minorHAnsi" w:hAnsiTheme="minorHAnsi"/>
        </w:rPr>
      </w:pPr>
      <w:r w:rsidRPr="006D0A81">
        <w:rPr>
          <w:rFonts w:asciiTheme="minorHAnsi" w:hAnsiTheme="minorHAnsi"/>
        </w:rPr>
        <w:t xml:space="preserve">Devil Couriers subcontracts to Tiger Couriers, then only those officers or employees of Tiger Couriers who </w:t>
      </w:r>
      <w:proofErr w:type="gramStart"/>
      <w:r w:rsidRPr="006D0A81">
        <w:rPr>
          <w:rFonts w:asciiTheme="minorHAnsi" w:hAnsiTheme="minorHAnsi"/>
        </w:rPr>
        <w:t>actually provide</w:t>
      </w:r>
      <w:proofErr w:type="gramEnd"/>
      <w:r w:rsidRPr="006D0A81">
        <w:rPr>
          <w:rFonts w:asciiTheme="minorHAnsi" w:hAnsiTheme="minorHAnsi"/>
        </w:rPr>
        <w:t xml:space="preserve"> the subcontracted courier services are deemed to be staff members of Australia Post.</w:t>
      </w:r>
    </w:p>
    <w:p w14:paraId="531FD8FA" w14:textId="77777777" w:rsidR="00821C5B" w:rsidRPr="006D0A81" w:rsidRDefault="00821C5B" w:rsidP="00821C5B">
      <w:pPr>
        <w:pStyle w:val="Heading2"/>
        <w:rPr>
          <w:rFonts w:asciiTheme="minorHAnsi" w:hAnsiTheme="minorHAnsi"/>
        </w:rPr>
      </w:pPr>
      <w:r w:rsidRPr="006D0A81">
        <w:rPr>
          <w:rFonts w:asciiTheme="minorHAnsi" w:hAnsiTheme="minorHAnsi"/>
        </w:rPr>
        <w:t>Commonwealth grant recipients</w:t>
      </w:r>
    </w:p>
    <w:p w14:paraId="07D3D7A6" w14:textId="77777777" w:rsidR="00821C5B" w:rsidRPr="006D0A81" w:rsidRDefault="00821C5B" w:rsidP="00821C5B">
      <w:pPr>
        <w:rPr>
          <w:rFonts w:asciiTheme="minorHAnsi" w:hAnsiTheme="minorHAnsi"/>
        </w:rPr>
      </w:pPr>
      <w:r w:rsidRPr="006D0A81">
        <w:rPr>
          <w:rFonts w:asciiTheme="minorHAnsi" w:hAnsiTheme="minorHAnsi"/>
        </w:rPr>
        <w:t>In most cases, recipients of Commonwealth grants will be contracted service providers, if the funding arrangement includes the provision of goods or services in connection with the activities of the Commonwealth or a Commonwealth agency.</w:t>
      </w:r>
    </w:p>
    <w:p w14:paraId="6504B333" w14:textId="77777777" w:rsidR="00821C5B" w:rsidRPr="006D0A81" w:rsidRDefault="00821C5B" w:rsidP="00821C5B">
      <w:pPr>
        <w:rPr>
          <w:rFonts w:asciiTheme="minorHAnsi" w:hAnsiTheme="minorHAnsi"/>
        </w:rPr>
      </w:pPr>
      <w:r w:rsidRPr="006D0A81">
        <w:rPr>
          <w:rFonts w:asciiTheme="minorHAnsi" w:hAnsiTheme="minorHAnsi"/>
        </w:rPr>
        <w:t>A Commonwealth grant recipient and their officers and employees can also come within the jurisdiction of the Commission if they engage in conduct that adversely affects the honesty and impartiality of a public official’s exercise and performance of their powers, functions and duties (see section 8(1)(a) of the NACC Act).</w:t>
      </w:r>
    </w:p>
    <w:p w14:paraId="67CB7A5A" w14:textId="005B98B4" w:rsidR="00CF1D6C" w:rsidRPr="006D0A81" w:rsidRDefault="00821C5B" w:rsidP="00821C5B">
      <w:pPr>
        <w:rPr>
          <w:rFonts w:asciiTheme="minorHAnsi" w:hAnsiTheme="minorHAnsi"/>
          <w:noProof/>
        </w:rPr>
      </w:pPr>
      <w:r w:rsidRPr="006D0A81">
        <w:rPr>
          <w:rFonts w:asciiTheme="minorHAnsi" w:hAnsiTheme="minorHAnsi"/>
          <w:color w:val="000000"/>
        </w:rPr>
        <w:t>Any referrals to the Commission regarding the conduct of Commonwealth grant recipients require assessment on a case-by-case basis to determine if they are within the Commission’s jurisdiction.</w:t>
      </w:r>
      <w:r w:rsidR="00CF1D6C" w:rsidRPr="006D0A81">
        <w:rPr>
          <w:rFonts w:asciiTheme="minorHAnsi" w:hAnsiTheme="minorHAnsi"/>
          <w:noProof/>
        </w:rPr>
        <w:br w:type="page"/>
      </w:r>
    </w:p>
    <w:p w14:paraId="064FEA28" w14:textId="77777777" w:rsidR="00CA400A" w:rsidRPr="006D0A81" w:rsidRDefault="00CA400A" w:rsidP="004B2B7E">
      <w:pPr>
        <w:pStyle w:val="Heading2"/>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rFonts w:asciiTheme="minorHAnsi" w:hAnsiTheme="minorHAnsi"/>
          <w:noProof/>
        </w:rPr>
      </w:pPr>
      <w:r w:rsidRPr="006D0A81">
        <w:rPr>
          <w:rFonts w:asciiTheme="minorHAnsi" w:hAnsiTheme="minorHAnsi"/>
          <w:noProof/>
        </w:rPr>
        <w:lastRenderedPageBreak/>
        <w:t>Contact us</w:t>
      </w:r>
    </w:p>
    <w:p w14:paraId="1CFD8644" w14:textId="77777777" w:rsidR="004B2B7E" w:rsidRPr="006D0A81" w:rsidRDefault="004B2B7E" w:rsidP="004B2B7E">
      <w:pPr>
        <w:pStyle w:val="Heading3"/>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rFonts w:asciiTheme="minorHAnsi" w:hAnsiTheme="minorHAnsi"/>
        </w:rPr>
      </w:pPr>
      <w:r w:rsidRPr="006D0A81">
        <w:rPr>
          <w:rFonts w:asciiTheme="minorHAnsi" w:hAnsiTheme="minorHAnsi"/>
        </w:rPr>
        <w:t>Phone</w:t>
      </w:r>
    </w:p>
    <w:p w14:paraId="451499E6" w14:textId="77777777" w:rsidR="004B2B7E" w:rsidRPr="006D0A81" w:rsidRDefault="004B2B7E" w:rsidP="004B2B7E">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rFonts w:asciiTheme="minorHAnsi" w:hAnsiTheme="minorHAnsi"/>
        </w:rPr>
      </w:pPr>
      <w:r w:rsidRPr="006D0A81">
        <w:rPr>
          <w:rFonts w:asciiTheme="minorHAnsi" w:hAnsiTheme="minorHAnsi"/>
        </w:rPr>
        <w:t xml:space="preserve">To make a report or general enquiry please call </w:t>
      </w:r>
      <w:r w:rsidRPr="006D0A81">
        <w:rPr>
          <w:rFonts w:asciiTheme="minorHAnsi" w:hAnsiTheme="minorHAnsi"/>
          <w:b/>
          <w:bCs/>
        </w:rPr>
        <w:t>1300 489 844</w:t>
      </w:r>
      <w:r w:rsidRPr="006D0A81">
        <w:rPr>
          <w:rFonts w:asciiTheme="minorHAnsi" w:hAnsiTheme="minorHAnsi"/>
        </w:rPr>
        <w:t>.</w:t>
      </w:r>
    </w:p>
    <w:p w14:paraId="4260D310" w14:textId="77777777" w:rsidR="004B2B7E" w:rsidRPr="006D0A81" w:rsidRDefault="004B2B7E" w:rsidP="004B2B7E">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rFonts w:asciiTheme="minorHAnsi" w:hAnsiTheme="minorHAnsi"/>
        </w:rPr>
      </w:pPr>
      <w:r w:rsidRPr="006D0A81">
        <w:rPr>
          <w:rFonts w:asciiTheme="minorHAnsi" w:hAnsiTheme="minorHAnsi"/>
        </w:rPr>
        <w:t xml:space="preserve">If you are deaf or hard of hearing, you can contact us through the </w:t>
      </w:r>
      <w:hyperlink r:id="rId19" w:history="1">
        <w:r w:rsidRPr="006D0A81">
          <w:rPr>
            <w:rStyle w:val="Hyperlink"/>
            <w:rFonts w:asciiTheme="minorHAnsi" w:hAnsiTheme="minorHAnsi"/>
          </w:rPr>
          <w:t>National Relay Service</w:t>
        </w:r>
      </w:hyperlink>
      <w:r w:rsidRPr="006D0A81">
        <w:rPr>
          <w:rFonts w:asciiTheme="minorHAnsi" w:hAnsiTheme="minorHAnsi"/>
        </w:rPr>
        <w:t xml:space="preserve">, by dialling </w:t>
      </w:r>
      <w:r w:rsidRPr="006D0A81">
        <w:rPr>
          <w:rFonts w:asciiTheme="minorHAnsi" w:hAnsiTheme="minorHAnsi"/>
          <w:b/>
          <w:bCs/>
        </w:rPr>
        <w:t>133 677</w:t>
      </w:r>
      <w:r w:rsidRPr="006D0A81">
        <w:rPr>
          <w:rFonts w:asciiTheme="minorHAnsi" w:hAnsiTheme="minorHAnsi"/>
        </w:rPr>
        <w:t xml:space="preserve"> and telling them you want to call </w:t>
      </w:r>
      <w:r w:rsidRPr="006D0A81">
        <w:rPr>
          <w:rFonts w:asciiTheme="minorHAnsi" w:hAnsiTheme="minorHAnsi"/>
          <w:b/>
          <w:bCs/>
        </w:rPr>
        <w:t>1300 489 844</w:t>
      </w:r>
      <w:r w:rsidRPr="006D0A81">
        <w:rPr>
          <w:rFonts w:asciiTheme="minorHAnsi" w:hAnsiTheme="minorHAnsi"/>
        </w:rPr>
        <w:t>.</w:t>
      </w:r>
    </w:p>
    <w:p w14:paraId="178DE3BB" w14:textId="77777777" w:rsidR="004B2B7E" w:rsidRPr="006D0A81" w:rsidRDefault="004B2B7E" w:rsidP="004B2B7E">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rFonts w:asciiTheme="minorHAnsi" w:hAnsiTheme="minorHAnsi"/>
        </w:rPr>
      </w:pPr>
      <w:r w:rsidRPr="006D0A81">
        <w:rPr>
          <w:rFonts w:asciiTheme="minorHAnsi" w:hAnsiTheme="minorHAnsi"/>
        </w:rPr>
        <w:t xml:space="preserve">To call us in a language other than English, you can contact us through the free Translating and Interpreting Service, by dialling </w:t>
      </w:r>
      <w:r w:rsidRPr="006D0A81">
        <w:rPr>
          <w:rFonts w:asciiTheme="minorHAnsi" w:hAnsiTheme="minorHAnsi"/>
          <w:b/>
          <w:bCs/>
        </w:rPr>
        <w:t>131 450</w:t>
      </w:r>
      <w:r w:rsidRPr="006D0A81">
        <w:rPr>
          <w:rFonts w:asciiTheme="minorHAnsi" w:hAnsiTheme="minorHAnsi"/>
        </w:rPr>
        <w:t xml:space="preserve"> and requesting your language.</w:t>
      </w:r>
    </w:p>
    <w:p w14:paraId="39664B62" w14:textId="77777777" w:rsidR="004B2B7E" w:rsidRPr="006D0A81" w:rsidRDefault="004B2B7E" w:rsidP="004B2B7E">
      <w:pPr>
        <w:pStyle w:val="Heading3"/>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rFonts w:asciiTheme="minorHAnsi" w:hAnsiTheme="minorHAnsi"/>
        </w:rPr>
      </w:pPr>
      <w:r w:rsidRPr="006D0A81">
        <w:rPr>
          <w:rFonts w:asciiTheme="minorHAnsi" w:hAnsiTheme="minorHAnsi"/>
        </w:rPr>
        <w:t>Postal address</w:t>
      </w:r>
    </w:p>
    <w:p w14:paraId="2466CF43" w14:textId="77777777" w:rsidR="004B2B7E" w:rsidRPr="006D0A81" w:rsidRDefault="004B2B7E" w:rsidP="004B2B7E">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rFonts w:asciiTheme="minorHAnsi" w:hAnsiTheme="minorHAnsi"/>
        </w:rPr>
      </w:pPr>
      <w:r w:rsidRPr="006D0A81">
        <w:rPr>
          <w:rFonts w:asciiTheme="minorHAnsi" w:hAnsiTheme="minorHAnsi"/>
        </w:rPr>
        <w:t>National Anti-Corruption Commission, GPO Box 605, Canberra ACT 2601</w:t>
      </w:r>
    </w:p>
    <w:p w14:paraId="1729FCF5" w14:textId="77777777" w:rsidR="004B2B7E" w:rsidRPr="006D0A81" w:rsidRDefault="004B2B7E" w:rsidP="004B2B7E">
      <w:pPr>
        <w:pStyle w:val="Heading3"/>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rFonts w:asciiTheme="minorHAnsi" w:hAnsiTheme="minorHAnsi"/>
        </w:rPr>
      </w:pPr>
      <w:r w:rsidRPr="006D0A81">
        <w:rPr>
          <w:rFonts w:asciiTheme="minorHAnsi" w:hAnsiTheme="minorHAnsi"/>
        </w:rPr>
        <w:t>Website</w:t>
      </w:r>
    </w:p>
    <w:p w14:paraId="2F75D81E" w14:textId="4B6D4129" w:rsidR="004B2B7E" w:rsidRPr="006D0A81" w:rsidRDefault="004B2B7E" w:rsidP="004B2B7E">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rFonts w:asciiTheme="minorHAnsi" w:hAnsiTheme="minorHAnsi"/>
          <w:color w:val="0563C1" w:themeColor="hyperlink"/>
          <w:u w:val="single"/>
        </w:rPr>
      </w:pPr>
      <w:r w:rsidRPr="006D0A81">
        <w:rPr>
          <w:rFonts w:asciiTheme="minorHAnsi" w:hAnsiTheme="minorHAnsi"/>
        </w:rPr>
        <w:t xml:space="preserve">To find out more about mandatory referral requirements for agency heads and to make a referral via our webform, visit </w:t>
      </w:r>
      <w:hyperlink r:id="rId20" w:history="1">
        <w:r w:rsidRPr="006D0A81">
          <w:rPr>
            <w:rStyle w:val="Hyperlink"/>
            <w:rFonts w:asciiTheme="minorHAnsi" w:hAnsiTheme="minorHAnsi"/>
          </w:rPr>
          <w:t>our website</w:t>
        </w:r>
      </w:hyperlink>
      <w:r w:rsidRPr="006D0A81">
        <w:rPr>
          <w:rFonts w:asciiTheme="minorHAnsi" w:hAnsiTheme="minorHAnsi"/>
        </w:rPr>
        <w:t>.</w:t>
      </w:r>
    </w:p>
    <w:p w14:paraId="29FF31DC" w14:textId="4785408F" w:rsidR="006C7239" w:rsidRPr="006D0A81" w:rsidRDefault="006C7239" w:rsidP="0001178B">
      <w:pPr>
        <w:rPr>
          <w:rFonts w:asciiTheme="minorHAnsi" w:hAnsiTheme="minorHAnsi"/>
          <w:noProof/>
        </w:rPr>
      </w:pPr>
      <w:r w:rsidRPr="006D0A81">
        <w:rPr>
          <w:rFonts w:asciiTheme="minorHAnsi" w:hAnsiTheme="minorHAnsi"/>
          <w:noProof/>
        </w:rPr>
        <w:t xml:space="preserve">Last updated: </w:t>
      </w:r>
      <w:r w:rsidR="006D0A81">
        <w:rPr>
          <w:rFonts w:asciiTheme="minorHAnsi" w:hAnsiTheme="minorHAnsi"/>
          <w:noProof/>
        </w:rPr>
        <w:t>July</w:t>
      </w:r>
      <w:r w:rsidRPr="006D0A81">
        <w:rPr>
          <w:rFonts w:asciiTheme="minorHAnsi" w:hAnsiTheme="minorHAnsi"/>
          <w:noProof/>
        </w:rPr>
        <w:t xml:space="preserve"> 2024</w:t>
      </w:r>
    </w:p>
    <w:p w14:paraId="77248254" w14:textId="2D32D1B7" w:rsidR="006C7239" w:rsidRPr="006D0A81" w:rsidRDefault="006C7239" w:rsidP="006C7239">
      <w:pPr>
        <w:rPr>
          <w:rFonts w:asciiTheme="minorHAnsi" w:hAnsiTheme="minorHAnsi"/>
          <w:noProof/>
        </w:rPr>
      </w:pPr>
      <w:r w:rsidRPr="006D0A81">
        <w:rPr>
          <w:rFonts w:asciiTheme="minorHAnsi" w:hAnsiTheme="minorHAnsi"/>
          <w:noProof/>
        </w:rPr>
        <w:t>© Commonwealth of</w:t>
      </w:r>
      <w:r w:rsidR="00736E8C" w:rsidRPr="006D0A81">
        <w:rPr>
          <w:rFonts w:asciiTheme="minorHAnsi" w:hAnsiTheme="minorHAnsi"/>
          <w:noProof/>
        </w:rPr>
        <w:t xml:space="preserve"> </w:t>
      </w:r>
      <w:r w:rsidRPr="006D0A81">
        <w:rPr>
          <w:rFonts w:asciiTheme="minorHAnsi" w:hAnsiTheme="minorHAnsi"/>
          <w:noProof/>
        </w:rPr>
        <w:t>Australia 2024</w:t>
      </w:r>
    </w:p>
    <w:sectPr w:rsidR="006C7239" w:rsidRPr="006D0A81" w:rsidSect="0081235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50F82" w14:textId="77777777" w:rsidR="00B4592A" w:rsidRDefault="00B4592A" w:rsidP="00B4592A">
      <w:pPr>
        <w:spacing w:before="0" w:after="0" w:line="240" w:lineRule="auto"/>
      </w:pPr>
      <w:r>
        <w:separator/>
      </w:r>
    </w:p>
  </w:endnote>
  <w:endnote w:type="continuationSeparator" w:id="0">
    <w:p w14:paraId="29C7FFB3" w14:textId="77777777" w:rsidR="00B4592A" w:rsidRDefault="00B4592A" w:rsidP="00B4592A">
      <w:pPr>
        <w:spacing w:before="0" w:after="0" w:line="240" w:lineRule="auto"/>
      </w:pPr>
      <w:r>
        <w:continuationSeparator/>
      </w:r>
    </w:p>
  </w:endnote>
  <w:endnote w:type="continuationNotice" w:id="1">
    <w:p w14:paraId="0E64B79F" w14:textId="77777777" w:rsidR="001E7CDA" w:rsidRDefault="001E7C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Sans-Sem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6049" w14:textId="5266BA91" w:rsidR="00B4592A" w:rsidRDefault="008A25FF">
    <w:pPr>
      <w:pStyle w:val="Footer"/>
    </w:pPr>
    <w:r>
      <w:rPr>
        <w:noProof/>
      </w:rPr>
      <mc:AlternateContent>
        <mc:Choice Requires="wps">
          <w:drawing>
            <wp:anchor distT="0" distB="0" distL="0" distR="0" simplePos="0" relativeHeight="251658244" behindDoc="0" locked="0" layoutInCell="1" allowOverlap="1" wp14:anchorId="4A101EB9" wp14:editId="52E1490E">
              <wp:simplePos x="635" y="635"/>
              <wp:positionH relativeFrom="page">
                <wp:align>center</wp:align>
              </wp:positionH>
              <wp:positionV relativeFrom="page">
                <wp:align>bottom</wp:align>
              </wp:positionV>
              <wp:extent cx="443865" cy="443865"/>
              <wp:effectExtent l="0" t="0" r="635" b="0"/>
              <wp:wrapNone/>
              <wp:docPr id="662242409" name="Text Box 1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339E2" w14:textId="7E608716"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01EB9" id="_x0000_t202" coordsize="21600,21600" o:spt="202" path="m,l,21600r21600,l21600,xe">
              <v:stroke joinstyle="miter"/>
              <v:path gradientshapeok="t" o:connecttype="rect"/>
            </v:shapetype>
            <v:shape id="Text Box 19" o:spid="_x0000_s1028"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D339E2" w14:textId="7E608716"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38C5" w14:textId="3478C23B" w:rsidR="00B4592A" w:rsidRPr="006D0A81" w:rsidRDefault="008A25FF" w:rsidP="00812350">
    <w:pPr>
      <w:pStyle w:val="Footer"/>
      <w:pBdr>
        <w:top w:val="single" w:sz="4" w:space="8" w:color="54C6D3" w:themeColor="accent1"/>
      </w:pBdr>
      <w:tabs>
        <w:tab w:val="clear" w:pos="4513"/>
      </w:tabs>
      <w:spacing w:after="240"/>
      <w:contextualSpacing/>
      <w:rPr>
        <w:rFonts w:asciiTheme="minorHAnsi" w:hAnsiTheme="minorHAnsi"/>
        <w:sz w:val="20"/>
        <w:szCs w:val="32"/>
      </w:rPr>
    </w:pPr>
    <w:r w:rsidRPr="006D0A81">
      <w:rPr>
        <w:rFonts w:asciiTheme="minorHAnsi" w:hAnsiTheme="minorHAnsi"/>
        <w:b/>
        <w:bCs/>
        <w:noProof/>
        <w:sz w:val="20"/>
        <w:szCs w:val="20"/>
      </w:rPr>
      <mc:AlternateContent>
        <mc:Choice Requires="wps">
          <w:drawing>
            <wp:anchor distT="0" distB="0" distL="0" distR="0" simplePos="0" relativeHeight="251658245" behindDoc="0" locked="0" layoutInCell="1" allowOverlap="1" wp14:anchorId="5DB30D31" wp14:editId="0C1C05A2">
              <wp:simplePos x="914400" y="9802906"/>
              <wp:positionH relativeFrom="page">
                <wp:align>center</wp:align>
              </wp:positionH>
              <wp:positionV relativeFrom="page">
                <wp:align>bottom</wp:align>
              </wp:positionV>
              <wp:extent cx="443865" cy="443865"/>
              <wp:effectExtent l="0" t="0" r="635" b="0"/>
              <wp:wrapNone/>
              <wp:docPr id="1082196997" name="Text Box 2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E4D62" w14:textId="535B95C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30D31" id="_x0000_t202" coordsize="21600,21600" o:spt="202" path="m,l,21600r21600,l21600,xe">
              <v:stroke joinstyle="miter"/>
              <v:path gradientshapeok="t" o:connecttype="rect"/>
            </v:shapetype>
            <v:shape id="Text Box 20" o:spid="_x0000_s1029"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2E4D62" w14:textId="535B95C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r w:rsidR="00EB4719" w:rsidRPr="006D0A81">
      <w:rPr>
        <w:rFonts w:asciiTheme="minorHAnsi" w:hAnsiTheme="minorHAnsi"/>
        <w:b/>
        <w:bCs/>
        <w:noProof/>
        <w:sz w:val="20"/>
        <w:szCs w:val="20"/>
      </w:rPr>
      <w:fldChar w:fldCharType="begin"/>
    </w:r>
    <w:r w:rsidR="00EB4719" w:rsidRPr="006D0A81">
      <w:rPr>
        <w:rFonts w:asciiTheme="minorHAnsi" w:hAnsiTheme="minorHAnsi"/>
        <w:b/>
        <w:bCs/>
        <w:noProof/>
        <w:sz w:val="20"/>
        <w:szCs w:val="20"/>
      </w:rPr>
      <w:instrText xml:space="preserve"> PAGE   \* MERGEFORMAT </w:instrText>
    </w:r>
    <w:r w:rsidR="00EB4719" w:rsidRPr="006D0A81">
      <w:rPr>
        <w:rFonts w:asciiTheme="minorHAnsi" w:hAnsiTheme="minorHAnsi"/>
        <w:b/>
        <w:bCs/>
        <w:noProof/>
        <w:sz w:val="20"/>
        <w:szCs w:val="20"/>
      </w:rPr>
      <w:fldChar w:fldCharType="separate"/>
    </w:r>
    <w:r w:rsidR="00EB4719" w:rsidRPr="006D0A81">
      <w:rPr>
        <w:rFonts w:asciiTheme="minorHAnsi" w:hAnsiTheme="minorHAnsi"/>
        <w:b/>
        <w:bCs/>
        <w:noProof/>
        <w:sz w:val="20"/>
        <w:szCs w:val="20"/>
      </w:rPr>
      <w:t>2</w:t>
    </w:r>
    <w:r w:rsidR="00EB4719" w:rsidRPr="006D0A81">
      <w:rPr>
        <w:rFonts w:asciiTheme="minorHAnsi" w:hAnsiTheme="minorHAnsi"/>
        <w:b/>
        <w:bCs/>
        <w:noProof/>
        <w:sz w:val="20"/>
        <w:szCs w:val="20"/>
      </w:rPr>
      <w:fldChar w:fldCharType="end"/>
    </w:r>
    <w:r w:rsidR="000C56B3" w:rsidRPr="006D0A81">
      <w:rPr>
        <w:rFonts w:asciiTheme="minorHAnsi" w:hAnsiTheme="minorHAnsi"/>
        <w:noProof/>
        <w:sz w:val="20"/>
        <w:szCs w:val="32"/>
      </w:rPr>
      <w:tab/>
    </w:r>
    <w:r w:rsidR="004B2B7E" w:rsidRPr="006D0A81">
      <w:rPr>
        <w:rFonts w:asciiTheme="minorHAnsi" w:hAnsiTheme="minorHAnsi"/>
        <w:sz w:val="20"/>
        <w:szCs w:val="32"/>
      </w:rPr>
      <w:t>Contracted service providers, grant recipients and</w:t>
    </w:r>
    <w:r w:rsidR="00812350" w:rsidRPr="006D0A81">
      <w:rPr>
        <w:rFonts w:asciiTheme="minorHAnsi" w:hAnsiTheme="minorHAnsi"/>
        <w:sz w:val="20"/>
        <w:szCs w:val="32"/>
      </w:rPr>
      <w:t xml:space="preserve"> the NACC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1E62" w14:textId="7D819CEB" w:rsidR="00B4592A" w:rsidRPr="003F72B5" w:rsidRDefault="008A25FF" w:rsidP="003F72B5">
    <w:pPr>
      <w:pStyle w:val="Footer"/>
      <w:pBdr>
        <w:top w:val="single" w:sz="4" w:space="8" w:color="54C6D3" w:themeColor="accent1"/>
      </w:pBdr>
      <w:tabs>
        <w:tab w:val="clear" w:pos="4513"/>
      </w:tabs>
      <w:contextualSpacing/>
      <w:rPr>
        <w:noProof/>
        <w:color w:val="2787D5" w:themeColor="text1" w:themeTint="BF"/>
      </w:rPr>
    </w:pPr>
    <w:r>
      <w:rPr>
        <w:b/>
        <w:bCs/>
        <w:noProof/>
      </w:rPr>
      <mc:AlternateContent>
        <mc:Choice Requires="wps">
          <w:drawing>
            <wp:anchor distT="0" distB="0" distL="0" distR="0" simplePos="0" relativeHeight="251658243" behindDoc="0" locked="0" layoutInCell="1" allowOverlap="1" wp14:anchorId="706DF1F5" wp14:editId="3A05F337">
              <wp:simplePos x="914400" y="9802906"/>
              <wp:positionH relativeFrom="page">
                <wp:align>center</wp:align>
              </wp:positionH>
              <wp:positionV relativeFrom="page">
                <wp:align>bottom</wp:align>
              </wp:positionV>
              <wp:extent cx="443865" cy="443865"/>
              <wp:effectExtent l="0" t="0" r="635" b="0"/>
              <wp:wrapNone/>
              <wp:docPr id="998816638" name="Text Box 1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F0D3F" w14:textId="3FCBF62A"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DF1F5" id="_x0000_t202" coordsize="21600,21600" o:spt="202" path="m,l,21600r21600,l21600,xe">
              <v:stroke joinstyle="miter"/>
              <v:path gradientshapeok="t" o:connecttype="rect"/>
            </v:shapetype>
            <v:shape id="Text Box 18" o:spid="_x0000_s1031"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B9F0D3F" w14:textId="3FCBF62A"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r w:rsidR="003F72B5" w:rsidRPr="0001178B">
      <w:rPr>
        <w:b/>
        <w:bCs/>
        <w:noProof/>
      </w:rPr>
      <w:fldChar w:fldCharType="begin"/>
    </w:r>
    <w:r w:rsidR="003F72B5" w:rsidRPr="0001178B">
      <w:rPr>
        <w:b/>
        <w:bCs/>
        <w:noProof/>
      </w:rPr>
      <w:instrText xml:space="preserve"> PAGE   \* MERGEFORMAT </w:instrText>
    </w:r>
    <w:r w:rsidR="003F72B5" w:rsidRPr="0001178B">
      <w:rPr>
        <w:b/>
        <w:bCs/>
        <w:noProof/>
      </w:rPr>
      <w:fldChar w:fldCharType="separate"/>
    </w:r>
    <w:r w:rsidR="003F72B5">
      <w:rPr>
        <w:b/>
        <w:bCs/>
        <w:noProof/>
      </w:rPr>
      <w:t>2</w:t>
    </w:r>
    <w:r w:rsidR="003F72B5" w:rsidRPr="0001178B">
      <w:rPr>
        <w:b/>
        <w:bCs/>
        <w:noProof/>
      </w:rPr>
      <w:fldChar w:fldCharType="end"/>
    </w:r>
    <w:r w:rsidR="003F72B5" w:rsidRPr="0001178B">
      <w:rPr>
        <w:noProof/>
      </w:rPr>
      <w:tab/>
    </w:r>
    <w:hyperlink r:id="rId1" w:history="1">
      <w:r w:rsidR="003F72B5" w:rsidRPr="000C56B3">
        <w:rPr>
          <w:rStyle w:val="Hyperlink"/>
          <w:b/>
          <w:bCs/>
          <w:noProof/>
          <w:color w:val="auto"/>
          <w:u w:val="none"/>
        </w:rPr>
        <w:t>nacc</w:t>
      </w:r>
      <w:r w:rsidR="003F72B5" w:rsidRPr="000C56B3">
        <w:rPr>
          <w:rStyle w:val="Hyperlink"/>
          <w:noProof/>
          <w:color w:val="auto"/>
          <w:u w:val="none"/>
        </w:rPr>
        <w:t>.gov.au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4CC0D" w14:textId="77777777" w:rsidR="00B4592A" w:rsidRDefault="00B4592A" w:rsidP="00B4592A">
      <w:pPr>
        <w:spacing w:before="0" w:after="0" w:line="240" w:lineRule="auto"/>
      </w:pPr>
      <w:r>
        <w:separator/>
      </w:r>
    </w:p>
  </w:footnote>
  <w:footnote w:type="continuationSeparator" w:id="0">
    <w:p w14:paraId="2B3682BD" w14:textId="77777777" w:rsidR="00B4592A" w:rsidRDefault="00B4592A" w:rsidP="00B4592A">
      <w:pPr>
        <w:spacing w:before="0" w:after="0" w:line="240" w:lineRule="auto"/>
      </w:pPr>
      <w:r>
        <w:continuationSeparator/>
      </w:r>
    </w:p>
  </w:footnote>
  <w:footnote w:type="continuationNotice" w:id="1">
    <w:p w14:paraId="3DCDC068" w14:textId="77777777" w:rsidR="001E7CDA" w:rsidRDefault="001E7CDA">
      <w:pPr>
        <w:spacing w:before="0" w:after="0" w:line="240" w:lineRule="auto"/>
      </w:pPr>
    </w:p>
  </w:footnote>
  <w:footnote w:id="2">
    <w:p w14:paraId="54FDD774" w14:textId="50631A49" w:rsidR="00821C5B" w:rsidRDefault="00821C5B" w:rsidP="00821C5B">
      <w:pPr>
        <w:pStyle w:val="Footerrefernce"/>
      </w:pPr>
      <w:r w:rsidRPr="00821C5B">
        <w:rPr>
          <w:rStyle w:val="FootnoteReference"/>
        </w:rPr>
        <w:footnoteRef/>
      </w:r>
      <w:r w:rsidRPr="00821C5B">
        <w:t xml:space="preserve"> Commonwealth means the national or central government, usually called the Federal Government, Commonwealth Government or Australian Government. A Commonwealth agency means a Commonwealth Government department or agency. It does not include State or Territory or local governments, or their departments or agencies.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EF3E" w14:textId="58030880" w:rsidR="00B4592A" w:rsidRDefault="008A25FF">
    <w:pPr>
      <w:pStyle w:val="Header"/>
    </w:pPr>
    <w:r>
      <w:rPr>
        <w:noProof/>
      </w:rPr>
      <mc:AlternateContent>
        <mc:Choice Requires="wps">
          <w:drawing>
            <wp:anchor distT="0" distB="0" distL="0" distR="0" simplePos="0" relativeHeight="251658241" behindDoc="0" locked="0" layoutInCell="1" allowOverlap="1" wp14:anchorId="0769F91C" wp14:editId="0AFDCAC8">
              <wp:simplePos x="635" y="635"/>
              <wp:positionH relativeFrom="page">
                <wp:align>center</wp:align>
              </wp:positionH>
              <wp:positionV relativeFrom="page">
                <wp:align>top</wp:align>
              </wp:positionV>
              <wp:extent cx="443865" cy="443865"/>
              <wp:effectExtent l="0" t="0" r="635" b="6985"/>
              <wp:wrapNone/>
              <wp:docPr id="139135365"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9E164" w14:textId="6C988D0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9F91C" id="_x0000_t202" coordsize="21600,21600" o:spt="202" path="m,l,21600r21600,l21600,xe">
              <v:stroke joinstyle="miter"/>
              <v:path gradientshapeok="t" o:connecttype="rect"/>
            </v:shapetype>
            <v:shape id="Text Box 16"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89E164" w14:textId="6C988D0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953C" w14:textId="075CFF0D" w:rsidR="00B4592A" w:rsidRDefault="008A25FF">
    <w:pPr>
      <w:pStyle w:val="Header"/>
    </w:pPr>
    <w:r>
      <w:rPr>
        <w:noProof/>
      </w:rPr>
      <mc:AlternateContent>
        <mc:Choice Requires="wps">
          <w:drawing>
            <wp:anchor distT="0" distB="0" distL="0" distR="0" simplePos="0" relativeHeight="251658242" behindDoc="0" locked="0" layoutInCell="1" allowOverlap="1" wp14:anchorId="15B139B1" wp14:editId="70DEE409">
              <wp:simplePos x="914400" y="443753"/>
              <wp:positionH relativeFrom="page">
                <wp:align>center</wp:align>
              </wp:positionH>
              <wp:positionV relativeFrom="page">
                <wp:align>top</wp:align>
              </wp:positionV>
              <wp:extent cx="443865" cy="443865"/>
              <wp:effectExtent l="0" t="0" r="635" b="6985"/>
              <wp:wrapNone/>
              <wp:docPr id="508811275"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F0D8D" w14:textId="5227A79F"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B139B1" id="_x0000_t202" coordsize="21600,21600" o:spt="202" path="m,l,21600r21600,l21600,xe">
              <v:stroke joinstyle="miter"/>
              <v:path gradientshapeok="t" o:connecttype="rect"/>
            </v:shapetype>
            <v:shape id="Text Box 17"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2F0D8D" w14:textId="5227A79F"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4653" w14:textId="39B7658C" w:rsidR="00B4592A" w:rsidRDefault="008A25FF">
    <w:pPr>
      <w:pStyle w:val="Header"/>
    </w:pPr>
    <w:r>
      <w:rPr>
        <w:noProof/>
      </w:rPr>
      <mc:AlternateContent>
        <mc:Choice Requires="wps">
          <w:drawing>
            <wp:anchor distT="0" distB="0" distL="0" distR="0" simplePos="0" relativeHeight="251658240" behindDoc="0" locked="0" layoutInCell="1" allowOverlap="1" wp14:anchorId="4BBF7404" wp14:editId="39F63C40">
              <wp:simplePos x="914400" y="282388"/>
              <wp:positionH relativeFrom="page">
                <wp:align>center</wp:align>
              </wp:positionH>
              <wp:positionV relativeFrom="page">
                <wp:align>top</wp:align>
              </wp:positionV>
              <wp:extent cx="443865" cy="443865"/>
              <wp:effectExtent l="0" t="0" r="635" b="6985"/>
              <wp:wrapNone/>
              <wp:docPr id="1655944227"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D0F38" w14:textId="7D8DC03D"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BF7404"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B8D0F38" w14:textId="7D8DC03D"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FF8"/>
    <w:multiLevelType w:val="hybridMultilevel"/>
    <w:tmpl w:val="028295FA"/>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7695D"/>
    <w:multiLevelType w:val="hybridMultilevel"/>
    <w:tmpl w:val="BD2CC6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9D666B"/>
    <w:multiLevelType w:val="multilevel"/>
    <w:tmpl w:val="66E25806"/>
    <w:lvl w:ilvl="0">
      <w:start w:val="1"/>
      <w:numFmt w:val="lowerLetter"/>
      <w:lvlText w:val="%1)"/>
      <w:lvlJc w:val="left"/>
      <w:pPr>
        <w:ind w:left="927" w:hanging="360"/>
      </w:pPr>
      <w:rPr>
        <w:rFonts w:hint="default"/>
        <w:color w:val="44546A" w:themeColor="text2"/>
      </w:rPr>
    </w:lvl>
    <w:lvl w:ilvl="1">
      <w:start w:val="1"/>
      <w:numFmt w:val="bullet"/>
      <w:lvlText w:val="–"/>
      <w:lvlJc w:val="left"/>
      <w:pPr>
        <w:ind w:left="1247" w:hanging="340"/>
      </w:pPr>
      <w:rPr>
        <w:rFonts w:ascii="Verdana" w:hAnsi="Verdana" w:hint="default"/>
        <w:color w:val="44546A" w:themeColor="text2"/>
      </w:rPr>
    </w:lvl>
    <w:lvl w:ilvl="2">
      <w:start w:val="1"/>
      <w:numFmt w:val="lowerLetter"/>
      <w:lvlText w:val="%3)"/>
      <w:lvlJc w:val="left"/>
      <w:pPr>
        <w:ind w:left="907" w:hanging="340"/>
      </w:pPr>
      <w:rPr>
        <w:rFonts w:hint="default"/>
      </w:rPr>
    </w:lvl>
    <w:lvl w:ilvl="3">
      <w:start w:val="1"/>
      <w:numFmt w:val="lowerRoman"/>
      <w:lvlText w:val="%4)"/>
      <w:lvlJc w:val="left"/>
      <w:pPr>
        <w:ind w:left="1247"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532689"/>
    <w:multiLevelType w:val="hybridMultilevel"/>
    <w:tmpl w:val="4420DDE2"/>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3660E"/>
    <w:multiLevelType w:val="multilevel"/>
    <w:tmpl w:val="2D4ACC72"/>
    <w:lvl w:ilvl="0">
      <w:start w:val="1"/>
      <w:numFmt w:val="bullet"/>
      <w:pStyle w:val="IndentBullet1"/>
      <w:lvlText w:val=""/>
      <w:lvlJc w:val="left"/>
      <w:pPr>
        <w:ind w:left="927" w:hanging="360"/>
      </w:pPr>
      <w:rPr>
        <w:rFonts w:ascii="Symbol" w:hAnsi="Symbol" w:hint="default"/>
        <w:color w:val="44546A" w:themeColor="text2"/>
      </w:rPr>
    </w:lvl>
    <w:lvl w:ilvl="1">
      <w:start w:val="1"/>
      <w:numFmt w:val="bullet"/>
      <w:lvlText w:val="–"/>
      <w:lvlJc w:val="left"/>
      <w:pPr>
        <w:ind w:left="1247" w:hanging="340"/>
      </w:pPr>
      <w:rPr>
        <w:rFonts w:ascii="Verdana" w:hAnsi="Verdana" w:hint="default"/>
        <w:color w:val="44546A" w:themeColor="text2"/>
      </w:rPr>
    </w:lvl>
    <w:lvl w:ilvl="2">
      <w:start w:val="1"/>
      <w:numFmt w:val="lowerLetter"/>
      <w:lvlText w:val="%3)"/>
      <w:lvlJc w:val="left"/>
      <w:pPr>
        <w:ind w:left="907" w:hanging="340"/>
      </w:pPr>
      <w:rPr>
        <w:rFonts w:hint="default"/>
      </w:rPr>
    </w:lvl>
    <w:lvl w:ilvl="3">
      <w:start w:val="1"/>
      <w:numFmt w:val="lowerRoman"/>
      <w:lvlText w:val="%4)"/>
      <w:lvlJc w:val="left"/>
      <w:pPr>
        <w:ind w:left="1247"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B574D1"/>
    <w:multiLevelType w:val="hybridMultilevel"/>
    <w:tmpl w:val="9E189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840578"/>
    <w:multiLevelType w:val="hybridMultilevel"/>
    <w:tmpl w:val="D4404B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D625B4"/>
    <w:multiLevelType w:val="hybridMultilevel"/>
    <w:tmpl w:val="35986916"/>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8D5087"/>
    <w:multiLevelType w:val="hybridMultilevel"/>
    <w:tmpl w:val="37447BCA"/>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20563"/>
    <w:multiLevelType w:val="hybridMultilevel"/>
    <w:tmpl w:val="C9DCA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03484C"/>
    <w:multiLevelType w:val="hybridMultilevel"/>
    <w:tmpl w:val="BD0E3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456203"/>
    <w:multiLevelType w:val="hybridMultilevel"/>
    <w:tmpl w:val="C7B61234"/>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A46AC5"/>
    <w:multiLevelType w:val="hybridMultilevel"/>
    <w:tmpl w:val="91CA9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9F72D5"/>
    <w:multiLevelType w:val="hybridMultilevel"/>
    <w:tmpl w:val="2FA08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554EF0"/>
    <w:multiLevelType w:val="multilevel"/>
    <w:tmpl w:val="4624390C"/>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4546A" w:themeColor="text2"/>
      </w:rPr>
    </w:lvl>
    <w:lvl w:ilvl="3">
      <w:start w:val="1"/>
      <w:numFmt w:val="bullet"/>
      <w:lvlText w:val="»"/>
      <w:lvlJc w:val="left"/>
      <w:pPr>
        <w:ind w:left="794" w:hanging="510"/>
      </w:pPr>
      <w:rPr>
        <w:rFonts w:ascii="Arial" w:hAnsi="Arial" w:hint="default"/>
        <w:color w:val="44546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63BE2CE2"/>
    <w:multiLevelType w:val="hybridMultilevel"/>
    <w:tmpl w:val="27728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C8245F"/>
    <w:multiLevelType w:val="hybridMultilevel"/>
    <w:tmpl w:val="6CBA7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5E158B"/>
    <w:multiLevelType w:val="hybridMultilevel"/>
    <w:tmpl w:val="4ED25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7D6155D"/>
    <w:multiLevelType w:val="hybridMultilevel"/>
    <w:tmpl w:val="79D2FA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82827203">
    <w:abstractNumId w:val="7"/>
  </w:num>
  <w:num w:numId="2" w16cid:durableId="213200148">
    <w:abstractNumId w:val="1"/>
  </w:num>
  <w:num w:numId="3" w16cid:durableId="876158351">
    <w:abstractNumId w:val="6"/>
  </w:num>
  <w:num w:numId="4" w16cid:durableId="2036998010">
    <w:abstractNumId w:val="11"/>
  </w:num>
  <w:num w:numId="5" w16cid:durableId="2104447144">
    <w:abstractNumId w:val="3"/>
  </w:num>
  <w:num w:numId="6" w16cid:durableId="1409309371">
    <w:abstractNumId w:val="0"/>
  </w:num>
  <w:num w:numId="7" w16cid:durableId="794563145">
    <w:abstractNumId w:val="8"/>
  </w:num>
  <w:num w:numId="8" w16cid:durableId="1064454643">
    <w:abstractNumId w:val="9"/>
  </w:num>
  <w:num w:numId="9" w16cid:durableId="1276672951">
    <w:abstractNumId w:val="15"/>
  </w:num>
  <w:num w:numId="10" w16cid:durableId="694965803">
    <w:abstractNumId w:val="16"/>
  </w:num>
  <w:num w:numId="11" w16cid:durableId="565602909">
    <w:abstractNumId w:val="12"/>
  </w:num>
  <w:num w:numId="12" w16cid:durableId="162665053">
    <w:abstractNumId w:val="10"/>
  </w:num>
  <w:num w:numId="13" w16cid:durableId="972831914">
    <w:abstractNumId w:val="18"/>
  </w:num>
  <w:num w:numId="14" w16cid:durableId="831485846">
    <w:abstractNumId w:val="14"/>
  </w:num>
  <w:num w:numId="15" w16cid:durableId="1636135706">
    <w:abstractNumId w:val="4"/>
  </w:num>
  <w:num w:numId="16" w16cid:durableId="1715884572">
    <w:abstractNumId w:val="2"/>
  </w:num>
  <w:num w:numId="17" w16cid:durableId="1438526068">
    <w:abstractNumId w:val="13"/>
  </w:num>
  <w:num w:numId="18" w16cid:durableId="120001079">
    <w:abstractNumId w:val="17"/>
  </w:num>
  <w:num w:numId="19" w16cid:durableId="1078862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2A"/>
    <w:rsid w:val="0001178B"/>
    <w:rsid w:val="00080994"/>
    <w:rsid w:val="000C56B3"/>
    <w:rsid w:val="00171EC4"/>
    <w:rsid w:val="001A44B8"/>
    <w:rsid w:val="001E7CDA"/>
    <w:rsid w:val="00221C3B"/>
    <w:rsid w:val="002A4E84"/>
    <w:rsid w:val="00305F9B"/>
    <w:rsid w:val="003F72B5"/>
    <w:rsid w:val="004746F1"/>
    <w:rsid w:val="004B2B7E"/>
    <w:rsid w:val="004F2E5F"/>
    <w:rsid w:val="005F4104"/>
    <w:rsid w:val="006177AC"/>
    <w:rsid w:val="006912AC"/>
    <w:rsid w:val="006C7239"/>
    <w:rsid w:val="006D0A81"/>
    <w:rsid w:val="006E2294"/>
    <w:rsid w:val="00736E8C"/>
    <w:rsid w:val="00773EF0"/>
    <w:rsid w:val="00792788"/>
    <w:rsid w:val="00812350"/>
    <w:rsid w:val="00821C5B"/>
    <w:rsid w:val="00830053"/>
    <w:rsid w:val="00887067"/>
    <w:rsid w:val="008A25FF"/>
    <w:rsid w:val="00920ED9"/>
    <w:rsid w:val="009F7CE0"/>
    <w:rsid w:val="00A00B69"/>
    <w:rsid w:val="00A122A1"/>
    <w:rsid w:val="00A8514B"/>
    <w:rsid w:val="00AA09AE"/>
    <w:rsid w:val="00AA6D18"/>
    <w:rsid w:val="00B4592A"/>
    <w:rsid w:val="00C747D8"/>
    <w:rsid w:val="00C80649"/>
    <w:rsid w:val="00CA400A"/>
    <w:rsid w:val="00CC7A3B"/>
    <w:rsid w:val="00CD082F"/>
    <w:rsid w:val="00CF1D6C"/>
    <w:rsid w:val="00D32CDB"/>
    <w:rsid w:val="00EB4719"/>
    <w:rsid w:val="00EC74FF"/>
    <w:rsid w:val="00ED56FD"/>
    <w:rsid w:val="00F004FF"/>
    <w:rsid w:val="00FE5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278155"/>
  <w15:chartTrackingRefBased/>
  <w15:docId w15:val="{7202BDBB-8118-483A-B4AC-E00D8DD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ajorBidi"/>
        <w:kern w:val="2"/>
        <w:sz w:val="24"/>
        <w:szCs w:val="40"/>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B3"/>
    <w:pPr>
      <w:spacing w:before="240" w:after="240" w:line="360" w:lineRule="auto"/>
    </w:pPr>
  </w:style>
  <w:style w:type="paragraph" w:styleId="Heading1">
    <w:name w:val="heading 1"/>
    <w:basedOn w:val="Normal"/>
    <w:next w:val="Normal"/>
    <w:link w:val="Heading1Char"/>
    <w:uiPriority w:val="9"/>
    <w:qFormat/>
    <w:rsid w:val="00CA400A"/>
    <w:pPr>
      <w:keepNext/>
      <w:keepLines/>
      <w:spacing w:before="360" w:line="240" w:lineRule="auto"/>
      <w:outlineLvl w:val="0"/>
    </w:pPr>
    <w:rPr>
      <w:rFonts w:ascii="Work Sans SemiBold" w:eastAsiaTheme="majorEastAsia" w:hAnsi="Work Sans SemiBold"/>
      <w:color w:val="FFFFFF"/>
      <w:sz w:val="80"/>
    </w:rPr>
  </w:style>
  <w:style w:type="paragraph" w:styleId="Heading2">
    <w:name w:val="heading 2"/>
    <w:basedOn w:val="Normal"/>
    <w:next w:val="Normal"/>
    <w:link w:val="Heading2Char"/>
    <w:uiPriority w:val="9"/>
    <w:unhideWhenUsed/>
    <w:qFormat/>
    <w:rsid w:val="006C7239"/>
    <w:pPr>
      <w:keepNext/>
      <w:keepLines/>
      <w:spacing w:before="360"/>
      <w:outlineLvl w:val="1"/>
    </w:pPr>
    <w:rPr>
      <w:rFonts w:ascii="Work Sans SemiBold" w:eastAsiaTheme="majorEastAsia" w:hAnsi="Work Sans SemiBold"/>
      <w:color w:val="1A5A8D" w:themeColor="accent3"/>
      <w:sz w:val="28"/>
      <w:szCs w:val="32"/>
    </w:rPr>
  </w:style>
  <w:style w:type="paragraph" w:styleId="Heading3">
    <w:name w:val="heading 3"/>
    <w:basedOn w:val="Normal"/>
    <w:next w:val="Normal"/>
    <w:link w:val="Heading3Char"/>
    <w:uiPriority w:val="9"/>
    <w:unhideWhenUsed/>
    <w:qFormat/>
    <w:rsid w:val="00CF1D6C"/>
    <w:pPr>
      <w:keepNext/>
      <w:keepLines/>
      <w:outlineLvl w:val="2"/>
    </w:pPr>
    <w:rPr>
      <w:rFonts w:ascii="Work Sans SemiBold" w:eastAsiaTheme="majorEastAsia" w:hAnsi="Work Sans SemiBold"/>
      <w:color w:val="2F3A48" w:themeColor="accent6"/>
      <w:szCs w:val="28"/>
    </w:rPr>
  </w:style>
  <w:style w:type="paragraph" w:styleId="Heading4">
    <w:name w:val="heading 4"/>
    <w:basedOn w:val="Normal"/>
    <w:next w:val="Normal"/>
    <w:link w:val="Heading4Char"/>
    <w:uiPriority w:val="9"/>
    <w:semiHidden/>
    <w:unhideWhenUsed/>
    <w:qFormat/>
    <w:rsid w:val="00B4592A"/>
    <w:pPr>
      <w:keepNext/>
      <w:keepLines/>
      <w:spacing w:before="80" w:after="40"/>
      <w:outlineLvl w:val="3"/>
    </w:pPr>
    <w:rPr>
      <w:rFonts w:eastAsiaTheme="majorEastAsia"/>
      <w:i/>
      <w:iCs/>
      <w:color w:val="2DA1AF" w:themeColor="accent1" w:themeShade="BF"/>
    </w:rPr>
  </w:style>
  <w:style w:type="paragraph" w:styleId="Heading5">
    <w:name w:val="heading 5"/>
    <w:basedOn w:val="Normal"/>
    <w:next w:val="Normal"/>
    <w:link w:val="Heading5Char"/>
    <w:uiPriority w:val="9"/>
    <w:semiHidden/>
    <w:unhideWhenUsed/>
    <w:qFormat/>
    <w:rsid w:val="00B4592A"/>
    <w:pPr>
      <w:keepNext/>
      <w:keepLines/>
      <w:spacing w:before="80" w:after="40"/>
      <w:outlineLvl w:val="4"/>
    </w:pPr>
    <w:rPr>
      <w:rFonts w:eastAsiaTheme="majorEastAsia"/>
      <w:color w:val="2DA1AF" w:themeColor="accent1" w:themeShade="BF"/>
    </w:rPr>
  </w:style>
  <w:style w:type="paragraph" w:styleId="Heading6">
    <w:name w:val="heading 6"/>
    <w:basedOn w:val="Normal"/>
    <w:next w:val="Normal"/>
    <w:link w:val="Heading6Char"/>
    <w:uiPriority w:val="9"/>
    <w:semiHidden/>
    <w:unhideWhenUsed/>
    <w:qFormat/>
    <w:rsid w:val="00B4592A"/>
    <w:pPr>
      <w:keepNext/>
      <w:keepLines/>
      <w:spacing w:before="40" w:after="0"/>
      <w:outlineLvl w:val="5"/>
    </w:pPr>
    <w:rPr>
      <w:rFonts w:eastAsiaTheme="majorEastAsia"/>
      <w:i/>
      <w:iCs/>
      <w:color w:val="4297DC" w:themeColor="text1" w:themeTint="A6"/>
    </w:rPr>
  </w:style>
  <w:style w:type="paragraph" w:styleId="Heading7">
    <w:name w:val="heading 7"/>
    <w:basedOn w:val="Normal"/>
    <w:next w:val="Normal"/>
    <w:link w:val="Heading7Char"/>
    <w:uiPriority w:val="9"/>
    <w:semiHidden/>
    <w:unhideWhenUsed/>
    <w:qFormat/>
    <w:rsid w:val="00B4592A"/>
    <w:pPr>
      <w:keepNext/>
      <w:keepLines/>
      <w:spacing w:before="40" w:after="0"/>
      <w:outlineLvl w:val="6"/>
    </w:pPr>
    <w:rPr>
      <w:rFonts w:eastAsiaTheme="majorEastAsia"/>
      <w:color w:val="4297DC" w:themeColor="text1" w:themeTint="A6"/>
    </w:rPr>
  </w:style>
  <w:style w:type="paragraph" w:styleId="Heading8">
    <w:name w:val="heading 8"/>
    <w:basedOn w:val="Normal"/>
    <w:next w:val="Normal"/>
    <w:link w:val="Heading8Char"/>
    <w:uiPriority w:val="9"/>
    <w:semiHidden/>
    <w:unhideWhenUsed/>
    <w:qFormat/>
    <w:rsid w:val="00B4592A"/>
    <w:pPr>
      <w:keepNext/>
      <w:keepLines/>
      <w:spacing w:after="0"/>
      <w:outlineLvl w:val="7"/>
    </w:pPr>
    <w:rPr>
      <w:rFonts w:eastAsiaTheme="majorEastAsia"/>
      <w:i/>
      <w:iCs/>
      <w:color w:val="2275B9" w:themeColor="text1" w:themeTint="D8"/>
    </w:rPr>
  </w:style>
  <w:style w:type="paragraph" w:styleId="Heading9">
    <w:name w:val="heading 9"/>
    <w:basedOn w:val="Normal"/>
    <w:next w:val="Normal"/>
    <w:link w:val="Heading9Char"/>
    <w:uiPriority w:val="9"/>
    <w:semiHidden/>
    <w:unhideWhenUsed/>
    <w:qFormat/>
    <w:rsid w:val="00B4592A"/>
    <w:pPr>
      <w:keepNext/>
      <w:keepLines/>
      <w:spacing w:after="0"/>
      <w:outlineLvl w:val="8"/>
    </w:pPr>
    <w:rPr>
      <w:rFonts w:eastAsiaTheme="majorEastAsia"/>
      <w:color w:val="2275B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0A"/>
    <w:rPr>
      <w:rFonts w:ascii="Work Sans SemiBold" w:eastAsiaTheme="majorEastAsia" w:hAnsi="Work Sans SemiBold"/>
      <w:color w:val="FFFFFF"/>
      <w:sz w:val="80"/>
    </w:rPr>
  </w:style>
  <w:style w:type="character" w:customStyle="1" w:styleId="Heading2Char">
    <w:name w:val="Heading 2 Char"/>
    <w:basedOn w:val="DefaultParagraphFont"/>
    <w:link w:val="Heading2"/>
    <w:uiPriority w:val="9"/>
    <w:rsid w:val="006C7239"/>
    <w:rPr>
      <w:rFonts w:ascii="Work Sans SemiBold" w:eastAsiaTheme="majorEastAsia" w:hAnsi="Work Sans SemiBold"/>
      <w:color w:val="1A5A8D" w:themeColor="accent3"/>
      <w:sz w:val="28"/>
      <w:szCs w:val="32"/>
    </w:rPr>
  </w:style>
  <w:style w:type="character" w:customStyle="1" w:styleId="Heading3Char">
    <w:name w:val="Heading 3 Char"/>
    <w:basedOn w:val="DefaultParagraphFont"/>
    <w:link w:val="Heading3"/>
    <w:uiPriority w:val="9"/>
    <w:rsid w:val="00CF1D6C"/>
    <w:rPr>
      <w:rFonts w:ascii="Work Sans SemiBold" w:eastAsiaTheme="majorEastAsia" w:hAnsi="Work Sans SemiBold"/>
      <w:color w:val="2F3A48" w:themeColor="accent6"/>
      <w:szCs w:val="28"/>
    </w:rPr>
  </w:style>
  <w:style w:type="character" w:customStyle="1" w:styleId="Heading4Char">
    <w:name w:val="Heading 4 Char"/>
    <w:basedOn w:val="DefaultParagraphFont"/>
    <w:link w:val="Heading4"/>
    <w:uiPriority w:val="9"/>
    <w:semiHidden/>
    <w:rsid w:val="00B4592A"/>
    <w:rPr>
      <w:rFonts w:eastAsiaTheme="majorEastAsia" w:cstheme="majorBidi"/>
      <w:i/>
      <w:iCs/>
      <w:color w:val="2DA1AF" w:themeColor="accent1" w:themeShade="BF"/>
    </w:rPr>
  </w:style>
  <w:style w:type="character" w:customStyle="1" w:styleId="Heading5Char">
    <w:name w:val="Heading 5 Char"/>
    <w:basedOn w:val="DefaultParagraphFont"/>
    <w:link w:val="Heading5"/>
    <w:uiPriority w:val="9"/>
    <w:semiHidden/>
    <w:rsid w:val="00B4592A"/>
    <w:rPr>
      <w:rFonts w:eastAsiaTheme="majorEastAsia" w:cstheme="majorBidi"/>
      <w:color w:val="2DA1AF" w:themeColor="accent1" w:themeShade="BF"/>
    </w:rPr>
  </w:style>
  <w:style w:type="character" w:customStyle="1" w:styleId="Heading6Char">
    <w:name w:val="Heading 6 Char"/>
    <w:basedOn w:val="DefaultParagraphFont"/>
    <w:link w:val="Heading6"/>
    <w:uiPriority w:val="9"/>
    <w:semiHidden/>
    <w:rsid w:val="00B4592A"/>
    <w:rPr>
      <w:rFonts w:eastAsiaTheme="majorEastAsia" w:cstheme="majorBidi"/>
      <w:i/>
      <w:iCs/>
      <w:color w:val="4297DC" w:themeColor="text1" w:themeTint="A6"/>
    </w:rPr>
  </w:style>
  <w:style w:type="character" w:customStyle="1" w:styleId="Heading7Char">
    <w:name w:val="Heading 7 Char"/>
    <w:basedOn w:val="DefaultParagraphFont"/>
    <w:link w:val="Heading7"/>
    <w:uiPriority w:val="9"/>
    <w:semiHidden/>
    <w:rsid w:val="00B4592A"/>
    <w:rPr>
      <w:rFonts w:eastAsiaTheme="majorEastAsia" w:cstheme="majorBidi"/>
      <w:color w:val="4297DC" w:themeColor="text1" w:themeTint="A6"/>
    </w:rPr>
  </w:style>
  <w:style w:type="character" w:customStyle="1" w:styleId="Heading8Char">
    <w:name w:val="Heading 8 Char"/>
    <w:basedOn w:val="DefaultParagraphFont"/>
    <w:link w:val="Heading8"/>
    <w:uiPriority w:val="9"/>
    <w:semiHidden/>
    <w:rsid w:val="00B4592A"/>
    <w:rPr>
      <w:rFonts w:eastAsiaTheme="majorEastAsia" w:cstheme="majorBidi"/>
      <w:i/>
      <w:iCs/>
      <w:color w:val="2275B9" w:themeColor="text1" w:themeTint="D8"/>
    </w:rPr>
  </w:style>
  <w:style w:type="character" w:customStyle="1" w:styleId="Heading9Char">
    <w:name w:val="Heading 9 Char"/>
    <w:basedOn w:val="DefaultParagraphFont"/>
    <w:link w:val="Heading9"/>
    <w:uiPriority w:val="9"/>
    <w:semiHidden/>
    <w:rsid w:val="00B4592A"/>
    <w:rPr>
      <w:rFonts w:eastAsiaTheme="majorEastAsia" w:cstheme="majorBidi"/>
      <w:color w:val="2275B9" w:themeColor="text1" w:themeTint="D8"/>
    </w:rPr>
  </w:style>
  <w:style w:type="paragraph" w:styleId="Title">
    <w:name w:val="Title"/>
    <w:basedOn w:val="Normal"/>
    <w:next w:val="Normal"/>
    <w:link w:val="TitleChar"/>
    <w:uiPriority w:val="10"/>
    <w:qFormat/>
    <w:rsid w:val="00B4592A"/>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45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92A"/>
    <w:pPr>
      <w:numPr>
        <w:ilvl w:val="1"/>
      </w:numPr>
    </w:pPr>
    <w:rPr>
      <w:rFonts w:eastAsiaTheme="majorEastAsia"/>
      <w:color w:val="4297DC" w:themeColor="text1" w:themeTint="A6"/>
      <w:spacing w:val="15"/>
      <w:sz w:val="28"/>
      <w:szCs w:val="28"/>
    </w:rPr>
  </w:style>
  <w:style w:type="character" w:customStyle="1" w:styleId="SubtitleChar">
    <w:name w:val="Subtitle Char"/>
    <w:basedOn w:val="DefaultParagraphFont"/>
    <w:link w:val="Subtitle"/>
    <w:uiPriority w:val="11"/>
    <w:rsid w:val="00B4592A"/>
    <w:rPr>
      <w:rFonts w:eastAsiaTheme="majorEastAsia" w:cstheme="majorBidi"/>
      <w:color w:val="4297DC" w:themeColor="text1" w:themeTint="A6"/>
      <w:spacing w:val="15"/>
      <w:sz w:val="28"/>
      <w:szCs w:val="28"/>
    </w:rPr>
  </w:style>
  <w:style w:type="paragraph" w:styleId="Quote">
    <w:name w:val="Quote"/>
    <w:basedOn w:val="Normal"/>
    <w:next w:val="Normal"/>
    <w:link w:val="QuoteChar"/>
    <w:uiPriority w:val="29"/>
    <w:qFormat/>
    <w:rsid w:val="00B4592A"/>
    <w:pPr>
      <w:spacing w:before="160"/>
      <w:jc w:val="center"/>
    </w:pPr>
    <w:rPr>
      <w:i/>
      <w:iCs/>
      <w:color w:val="2787D5" w:themeColor="text1" w:themeTint="BF"/>
    </w:rPr>
  </w:style>
  <w:style w:type="character" w:customStyle="1" w:styleId="QuoteChar">
    <w:name w:val="Quote Char"/>
    <w:basedOn w:val="DefaultParagraphFont"/>
    <w:link w:val="Quote"/>
    <w:uiPriority w:val="29"/>
    <w:rsid w:val="00B4592A"/>
    <w:rPr>
      <w:i/>
      <w:iCs/>
      <w:color w:val="2787D5" w:themeColor="text1" w:themeTint="BF"/>
    </w:rPr>
  </w:style>
  <w:style w:type="paragraph" w:styleId="ListParagraph">
    <w:name w:val="List Paragraph"/>
    <w:basedOn w:val="Normal"/>
    <w:uiPriority w:val="34"/>
    <w:qFormat/>
    <w:rsid w:val="00A00B69"/>
  </w:style>
  <w:style w:type="character" w:styleId="IntenseEmphasis">
    <w:name w:val="Intense Emphasis"/>
    <w:basedOn w:val="DefaultParagraphFont"/>
    <w:uiPriority w:val="21"/>
    <w:qFormat/>
    <w:rsid w:val="00B4592A"/>
    <w:rPr>
      <w:i/>
      <w:iCs/>
      <w:color w:val="2DA1AF" w:themeColor="accent1" w:themeShade="BF"/>
    </w:rPr>
  </w:style>
  <w:style w:type="paragraph" w:styleId="IntenseQuote">
    <w:name w:val="Intense Quote"/>
    <w:basedOn w:val="Normal"/>
    <w:next w:val="Normal"/>
    <w:link w:val="IntenseQuoteChar"/>
    <w:uiPriority w:val="30"/>
    <w:qFormat/>
    <w:rsid w:val="00B4592A"/>
    <w:pPr>
      <w:pBdr>
        <w:top w:val="single" w:sz="4" w:space="10" w:color="2DA1AF" w:themeColor="accent1" w:themeShade="BF"/>
        <w:bottom w:val="single" w:sz="4" w:space="10" w:color="2DA1AF" w:themeColor="accent1" w:themeShade="BF"/>
      </w:pBdr>
      <w:spacing w:before="360" w:after="360"/>
      <w:ind w:left="864" w:right="864"/>
      <w:jc w:val="center"/>
    </w:pPr>
    <w:rPr>
      <w:i/>
      <w:iCs/>
      <w:color w:val="2DA1AF" w:themeColor="accent1" w:themeShade="BF"/>
    </w:rPr>
  </w:style>
  <w:style w:type="character" w:customStyle="1" w:styleId="IntenseQuoteChar">
    <w:name w:val="Intense Quote Char"/>
    <w:basedOn w:val="DefaultParagraphFont"/>
    <w:link w:val="IntenseQuote"/>
    <w:uiPriority w:val="30"/>
    <w:rsid w:val="00B4592A"/>
    <w:rPr>
      <w:i/>
      <w:iCs/>
      <w:color w:val="2DA1AF" w:themeColor="accent1" w:themeShade="BF"/>
    </w:rPr>
  </w:style>
  <w:style w:type="character" w:styleId="IntenseReference">
    <w:name w:val="Intense Reference"/>
    <w:basedOn w:val="DefaultParagraphFont"/>
    <w:uiPriority w:val="32"/>
    <w:qFormat/>
    <w:rsid w:val="00B4592A"/>
    <w:rPr>
      <w:b/>
      <w:bCs/>
      <w:smallCaps/>
      <w:color w:val="2DA1AF" w:themeColor="accent1" w:themeShade="BF"/>
      <w:spacing w:val="5"/>
    </w:rPr>
  </w:style>
  <w:style w:type="paragraph" w:styleId="Header">
    <w:name w:val="header"/>
    <w:basedOn w:val="Normal"/>
    <w:link w:val="HeaderChar"/>
    <w:uiPriority w:val="99"/>
    <w:unhideWhenUsed/>
    <w:rsid w:val="00B45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92A"/>
  </w:style>
  <w:style w:type="paragraph" w:styleId="Footer">
    <w:name w:val="footer"/>
    <w:basedOn w:val="Normal"/>
    <w:link w:val="FooterChar"/>
    <w:uiPriority w:val="99"/>
    <w:unhideWhenUsed/>
    <w:qFormat/>
    <w:rsid w:val="00B45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92A"/>
  </w:style>
  <w:style w:type="character" w:styleId="Hyperlink">
    <w:name w:val="Hyperlink"/>
    <w:basedOn w:val="DefaultParagraphFont"/>
    <w:uiPriority w:val="99"/>
    <w:unhideWhenUsed/>
    <w:rsid w:val="000C56B3"/>
    <w:rPr>
      <w:color w:val="0563C1" w:themeColor="hyperlink"/>
      <w:u w:val="single"/>
    </w:rPr>
  </w:style>
  <w:style w:type="character" w:styleId="UnresolvedMention">
    <w:name w:val="Unresolved Mention"/>
    <w:basedOn w:val="DefaultParagraphFont"/>
    <w:uiPriority w:val="99"/>
    <w:semiHidden/>
    <w:unhideWhenUsed/>
    <w:rsid w:val="000C56B3"/>
    <w:rPr>
      <w:color w:val="605E5C"/>
      <w:shd w:val="clear" w:color="auto" w:fill="E1DFDD"/>
    </w:rPr>
  </w:style>
  <w:style w:type="paragraph" w:customStyle="1" w:styleId="Address">
    <w:name w:val="Address"/>
    <w:basedOn w:val="Normal"/>
    <w:next w:val="Normal"/>
    <w:qFormat/>
    <w:rsid w:val="0001178B"/>
    <w:pPr>
      <w:spacing w:before="0" w:after="0"/>
    </w:pPr>
    <w:rPr>
      <w:noProof/>
    </w:rPr>
  </w:style>
  <w:style w:type="paragraph" w:customStyle="1" w:styleId="Box1Text">
    <w:name w:val="Box 1 Text"/>
    <w:basedOn w:val="Normal"/>
    <w:uiPriority w:val="13"/>
    <w:qFormat/>
    <w:rsid w:val="00821C5B"/>
    <w:pPr>
      <w:pBdr>
        <w:top w:val="single" w:sz="4" w:space="14" w:color="F2F2F2"/>
        <w:left w:val="single" w:sz="4" w:space="14" w:color="F2F2F2"/>
        <w:bottom w:val="single" w:sz="4" w:space="14" w:color="F2F2F2"/>
        <w:right w:val="single" w:sz="4" w:space="14" w:color="F2F2F2"/>
      </w:pBdr>
      <w:shd w:val="clear" w:color="auto" w:fill="F2F2F2"/>
      <w:suppressAutoHyphens/>
      <w:spacing w:before="120" w:after="120"/>
      <w:ind w:left="284" w:right="284"/>
    </w:pPr>
    <w:rPr>
      <w:rFonts w:asciiTheme="minorHAnsi" w:hAnsiTheme="minorHAnsi" w:cstheme="minorBidi"/>
      <w:color w:val="1A5A8D" w:themeColor="text1"/>
      <w:kern w:val="0"/>
      <w:sz w:val="20"/>
      <w:szCs w:val="20"/>
      <w14:ligatures w14:val="none"/>
    </w:rPr>
  </w:style>
  <w:style w:type="paragraph" w:customStyle="1" w:styleId="Box1Bullet">
    <w:name w:val="Box 1 Bullet"/>
    <w:basedOn w:val="Box1Text"/>
    <w:uiPriority w:val="14"/>
    <w:qFormat/>
    <w:rsid w:val="00821C5B"/>
    <w:pPr>
      <w:numPr>
        <w:numId w:val="14"/>
      </w:numPr>
      <w:ind w:left="624" w:hanging="340"/>
    </w:pPr>
  </w:style>
  <w:style w:type="paragraph" w:customStyle="1" w:styleId="Box2Bullet">
    <w:name w:val="Box 2 Bullet"/>
    <w:basedOn w:val="Normal"/>
    <w:uiPriority w:val="15"/>
    <w:qFormat/>
    <w:rsid w:val="00821C5B"/>
    <w:pPr>
      <w:keepNext/>
      <w:numPr>
        <w:ilvl w:val="1"/>
        <w:numId w:val="14"/>
      </w:numPr>
      <w:pBdr>
        <w:top w:val="single" w:sz="4" w:space="14" w:color="1A5A8D" w:themeColor="accent3"/>
        <w:left w:val="single" w:sz="4" w:space="14" w:color="1A5A8D" w:themeColor="accent3"/>
        <w:bottom w:val="single" w:sz="4" w:space="14" w:color="1A5A8D" w:themeColor="accent3"/>
        <w:right w:val="single" w:sz="4" w:space="14" w:color="1A5A8D" w:themeColor="accent3"/>
      </w:pBdr>
      <w:suppressAutoHyphens/>
      <w:spacing w:before="120" w:after="120"/>
      <w:ind w:left="568" w:right="284" w:hanging="284"/>
    </w:pPr>
    <w:rPr>
      <w:rFonts w:asciiTheme="minorHAnsi" w:hAnsiTheme="minorHAnsi" w:cstheme="minorBidi"/>
      <w:color w:val="1A5A8D" w:themeColor="text1"/>
      <w:kern w:val="0"/>
      <w:sz w:val="20"/>
      <w:szCs w:val="20"/>
      <w14:ligatures w14:val="none"/>
    </w:rPr>
  </w:style>
  <w:style w:type="character" w:styleId="FootnoteReference">
    <w:name w:val="footnote reference"/>
    <w:basedOn w:val="DefaultParagraphFont"/>
    <w:uiPriority w:val="99"/>
    <w:semiHidden/>
    <w:rsid w:val="00821C5B"/>
    <w:rPr>
      <w:vertAlign w:val="superscript"/>
    </w:rPr>
  </w:style>
  <w:style w:type="paragraph" w:styleId="FootnoteText">
    <w:name w:val="footnote text"/>
    <w:basedOn w:val="Normal"/>
    <w:link w:val="FootnoteTextChar"/>
    <w:uiPriority w:val="99"/>
    <w:semiHidden/>
    <w:rsid w:val="00821C5B"/>
    <w:pPr>
      <w:suppressAutoHyphens/>
      <w:spacing w:before="60" w:after="120"/>
    </w:pPr>
    <w:rPr>
      <w:rFonts w:asciiTheme="minorHAnsi" w:hAnsiTheme="minorHAnsi" w:cstheme="minorBidi"/>
      <w:color w:val="1A5A8D" w:themeColor="text1"/>
      <w:kern w:val="0"/>
      <w:sz w:val="18"/>
      <w:szCs w:val="20"/>
      <w14:ligatures w14:val="none"/>
    </w:rPr>
  </w:style>
  <w:style w:type="character" w:customStyle="1" w:styleId="FootnoteTextChar">
    <w:name w:val="Footnote Text Char"/>
    <w:basedOn w:val="DefaultParagraphFont"/>
    <w:link w:val="FootnoteText"/>
    <w:uiPriority w:val="99"/>
    <w:semiHidden/>
    <w:rsid w:val="00821C5B"/>
    <w:rPr>
      <w:rFonts w:asciiTheme="minorHAnsi" w:hAnsiTheme="minorHAnsi" w:cstheme="minorBidi"/>
      <w:color w:val="1A5A8D" w:themeColor="text1"/>
      <w:kern w:val="0"/>
      <w:sz w:val="18"/>
      <w:szCs w:val="20"/>
      <w14:ligatures w14:val="none"/>
    </w:rPr>
  </w:style>
  <w:style w:type="paragraph" w:customStyle="1" w:styleId="IndentBullet1">
    <w:name w:val="Indent Bullet 1"/>
    <w:basedOn w:val="Normal"/>
    <w:uiPriority w:val="4"/>
    <w:qFormat/>
    <w:rsid w:val="00821C5B"/>
    <w:pPr>
      <w:numPr>
        <w:numId w:val="15"/>
      </w:numPr>
      <w:suppressAutoHyphens/>
      <w:ind w:left="924" w:hanging="357"/>
    </w:pPr>
    <w:rPr>
      <w:rFonts w:cstheme="minorBidi"/>
      <w:kern w:val="0"/>
      <w:szCs w:val="20"/>
      <w14:ligatures w14:val="none"/>
    </w:rPr>
  </w:style>
  <w:style w:type="paragraph" w:customStyle="1" w:styleId="Footerrefernce">
    <w:name w:val="Footer (refernce)"/>
    <w:basedOn w:val="FootnoteText"/>
    <w:qFormat/>
    <w:rsid w:val="00821C5B"/>
    <w:pPr>
      <w:spacing w:before="120"/>
    </w:pPr>
    <w:rPr>
      <w:color w:val="auto"/>
      <w:sz w:val="22"/>
      <w:szCs w:val="24"/>
    </w:rPr>
  </w:style>
  <w:style w:type="paragraph" w:customStyle="1" w:styleId="Box2Text">
    <w:name w:val="Box 2 Text"/>
    <w:basedOn w:val="Normal"/>
    <w:uiPriority w:val="14"/>
    <w:qFormat/>
    <w:rsid w:val="004B2B7E"/>
    <w:pPr>
      <w:keepNext/>
      <w:pBdr>
        <w:top w:val="single" w:sz="4" w:space="14" w:color="1A5A8D" w:themeColor="accent3"/>
        <w:left w:val="single" w:sz="4" w:space="14" w:color="1A5A8D" w:themeColor="accent3"/>
        <w:bottom w:val="single" w:sz="4" w:space="14" w:color="1A5A8D" w:themeColor="accent3"/>
        <w:right w:val="single" w:sz="4" w:space="14" w:color="1A5A8D" w:themeColor="accent3"/>
      </w:pBdr>
      <w:suppressAutoHyphens/>
      <w:spacing w:before="120" w:after="120"/>
      <w:ind w:left="284" w:right="284"/>
    </w:pPr>
    <w:rPr>
      <w:rFonts w:asciiTheme="minorHAnsi" w:hAnsiTheme="minorHAnsi" w:cstheme="minorBidi"/>
      <w:color w:val="1A5A8D" w:themeColor="text1"/>
      <w:kern w:val="0"/>
      <w:sz w:val="20"/>
      <w:szCs w:val="20"/>
      <w14:ligatures w14:val="none"/>
    </w:rPr>
  </w:style>
  <w:style w:type="paragraph" w:customStyle="1" w:styleId="Box2Subheading">
    <w:name w:val="Box 2 Subheading"/>
    <w:basedOn w:val="Normal"/>
    <w:next w:val="Box2Text"/>
    <w:uiPriority w:val="3"/>
    <w:qFormat/>
    <w:rsid w:val="004B2B7E"/>
    <w:pPr>
      <w:keepNext/>
      <w:pBdr>
        <w:top w:val="single" w:sz="4" w:space="14" w:color="1A5A8D" w:themeColor="accent3"/>
        <w:left w:val="single" w:sz="4" w:space="14" w:color="1A5A8D" w:themeColor="accent3"/>
        <w:bottom w:val="single" w:sz="4" w:space="14" w:color="1A5A8D" w:themeColor="accent3"/>
        <w:right w:val="single" w:sz="4" w:space="14" w:color="1A5A8D" w:themeColor="accent3"/>
      </w:pBdr>
      <w:suppressAutoHyphens/>
      <w:spacing w:before="120" w:after="120"/>
      <w:ind w:left="284" w:right="284"/>
    </w:pPr>
    <w:rPr>
      <w:rFonts w:asciiTheme="minorHAnsi" w:hAnsiTheme="minorHAnsi" w:cstheme="minorBidi"/>
      <w:b/>
      <w:bCs/>
      <w:color w:val="1A5A8D" w:themeColor="text1"/>
      <w:kern w:val="0"/>
      <w:sz w:val="2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ac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cesshub.gov.au/about-the-n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naccgovau.sharepoint.com/sites/Documents/Shared%20Documents/ACLEI%20-%20Staff%20Information/ACLEI%20-%20Media/Handover%20March%202024/Infomation%20sheet/Website%20factsheets/nacc.gov.au" TargetMode="External"/></Relationships>
</file>

<file path=word/theme/theme1.xml><?xml version="1.0" encoding="utf-8"?>
<a:theme xmlns:a="http://schemas.openxmlformats.org/drawingml/2006/main" name="Factsheets">
  <a:themeElements>
    <a:clrScheme name="Factsheets">
      <a:dk1>
        <a:srgbClr val="1A5A8D"/>
      </a:dk1>
      <a:lt1>
        <a:srgbClr val="E1E8F6"/>
      </a:lt1>
      <a:dk2>
        <a:srgbClr val="44546A"/>
      </a:dk2>
      <a:lt2>
        <a:srgbClr val="F1F4FA"/>
      </a:lt2>
      <a:accent1>
        <a:srgbClr val="54C6D3"/>
      </a:accent1>
      <a:accent2>
        <a:srgbClr val="19B1C3"/>
      </a:accent2>
      <a:accent3>
        <a:srgbClr val="1A5A8D"/>
      </a:accent3>
      <a:accent4>
        <a:srgbClr val="44546A"/>
      </a:accent4>
      <a:accent5>
        <a:srgbClr val="FFFFFF"/>
      </a:accent5>
      <a:accent6>
        <a:srgbClr val="2F3A48"/>
      </a:accent6>
      <a:hlink>
        <a:srgbClr val="0563C1"/>
      </a:hlink>
      <a:folHlink>
        <a:srgbClr val="954F72"/>
      </a:folHlink>
    </a:clrScheme>
    <a:fontScheme name="NACC">
      <a:majorFont>
        <a:latin typeface="Work San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16ae24-60f4-4d67-acbd-1267dac1a8d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2e9e14e-99e1-497c-83a5-3b28ccefc3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28C2B40F6724F9AAF18514AA7FE31" ma:contentTypeVersion="17" ma:contentTypeDescription="Create a new document." ma:contentTypeScope="" ma:versionID="de39e4fc0fc1f083afea78accd9a1714">
  <xsd:schema xmlns:xsd="http://www.w3.org/2001/XMLSchema" xmlns:xs="http://www.w3.org/2001/XMLSchema" xmlns:p="http://schemas.microsoft.com/office/2006/metadata/properties" xmlns:ns1="http://schemas.microsoft.com/sharepoint/v3" xmlns:ns2="d2e9e14e-99e1-497c-83a5-3b28ccefc3c2" xmlns:ns3="1316ae24-60f4-4d67-acbd-1267dac1a8d7" targetNamespace="http://schemas.microsoft.com/office/2006/metadata/properties" ma:root="true" ma:fieldsID="423fd13ccd5148220fb97f6ef89271cc" ns1:_="" ns2:_="" ns3:_="">
    <xsd:import namespace="http://schemas.microsoft.com/sharepoint/v3"/>
    <xsd:import namespace="d2e9e14e-99e1-497c-83a5-3b28ccefc3c2"/>
    <xsd:import namespace="1316ae24-60f4-4d67-acbd-1267dac1a8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9e14e-99e1-497c-83a5-3b28ccefc3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ccb3dc-ee57-4dc3-a21f-2c7a2df248d7}" ma:internalName="TaxCatchAll" ma:showField="CatchAllData" ma:web="d2e9e14e-99e1-497c-83a5-3b28ccefc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6ae24-60f4-4d67-acbd-1267dac1a8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ff482-d92e-4230-8274-7db54dbfc7a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C9124-A100-4429-AD15-82B3602BAB4D}">
  <ds:schemaRefs>
    <ds:schemaRef ds:uri="http://schemas.openxmlformats.org/officeDocument/2006/bibliography"/>
  </ds:schemaRefs>
</ds:datastoreItem>
</file>

<file path=customXml/itemProps2.xml><?xml version="1.0" encoding="utf-8"?>
<ds:datastoreItem xmlns:ds="http://schemas.openxmlformats.org/officeDocument/2006/customXml" ds:itemID="{D32D367B-F814-41EB-BE3A-A44D7EA2D4F9}">
  <ds:schemaRefs>
    <ds:schemaRef ds:uri="d2e9e14e-99e1-497c-83a5-3b28ccefc3c2"/>
    <ds:schemaRef ds:uri="http://purl.org/dc/dcmitype/"/>
    <ds:schemaRef ds:uri="http://schemas.microsoft.com/office/2006/documentManagement/types"/>
    <ds:schemaRef ds:uri="http://schemas.microsoft.com/office/2006/metadata/properties"/>
    <ds:schemaRef ds:uri="http://schemas.openxmlformats.org/package/2006/metadata/core-properties"/>
    <ds:schemaRef ds:uri="1316ae24-60f4-4d67-acbd-1267dac1a8d7"/>
    <ds:schemaRef ds:uri="http://purl.org/dc/terms/"/>
    <ds:schemaRef ds:uri="http://schemas.microsoft.com/sharepoint/v3"/>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D2BB6C1-9ADA-4134-B792-ED2BC120D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e9e14e-99e1-497c-83a5-3b28ccefc3c2"/>
    <ds:schemaRef ds:uri="1316ae24-60f4-4d67-acbd-1267dac1a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650CD-051D-4092-99FB-148B43EE1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Contracted service providers, grant recipients and the NACC</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Contracted service providers, grant recipients and the NACC</dc:title>
  <dc:subject/>
  <dc:creator>Media@nacc.gov.au</dc:creator>
  <cp:keywords/>
  <dc:description/>
  <cp:lastModifiedBy>Amy ter Bogt</cp:lastModifiedBy>
  <cp:revision>7</cp:revision>
  <dcterms:created xsi:type="dcterms:W3CDTF">2024-07-22T02:19:00Z</dcterms:created>
  <dcterms:modified xsi:type="dcterms:W3CDTF">2024-08-05T00:55:00Z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62b3b423,84b0985,1e53d80b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6a95ff66,3b88bb7e,27790469,40810405</vt:lpwstr>
  </property>
  <property fmtid="{D5CDD505-2E9C-101B-9397-08002B2CF9AE}" pid="6" name="ClassificationContentMarkingFooterFontProps">
    <vt:lpwstr>#ff0000,12,Calibri</vt:lpwstr>
  </property>
  <property fmtid="{D5CDD505-2E9C-101B-9397-08002B2CF9AE}" pid="7" name="ClassificationContentMarkingFooterText">
    <vt:lpwstr>OFFICIAL </vt:lpwstr>
  </property>
  <property fmtid="{D5CDD505-2E9C-101B-9397-08002B2CF9AE}" pid="8" name="ContentTypeId">
    <vt:lpwstr>0x01010032528C2B40F6724F9AAF18514AA7FE31</vt:lpwstr>
  </property>
  <property fmtid="{D5CDD505-2E9C-101B-9397-08002B2CF9AE}" pid="9" name="MSIP_Label_4ba86659-d6e4-4b6d-88ae-202639b32f10_Enabled">
    <vt:lpwstr>true</vt:lpwstr>
  </property>
  <property fmtid="{D5CDD505-2E9C-101B-9397-08002B2CF9AE}" pid="10" name="MSIP_Label_4ba86659-d6e4-4b6d-88ae-202639b32f10_SetDate">
    <vt:lpwstr>2024-06-20T02:07:53Z</vt:lpwstr>
  </property>
  <property fmtid="{D5CDD505-2E9C-101B-9397-08002B2CF9AE}" pid="11" name="MSIP_Label_4ba86659-d6e4-4b6d-88ae-202639b32f10_Method">
    <vt:lpwstr>Privileged</vt:lpwstr>
  </property>
  <property fmtid="{D5CDD505-2E9C-101B-9397-08002B2CF9AE}" pid="12" name="MSIP_Label_4ba86659-d6e4-4b6d-88ae-202639b32f10_Name">
    <vt:lpwstr>58a895b5-cb81-4777-98ae-74e2a157223f</vt:lpwstr>
  </property>
  <property fmtid="{D5CDD505-2E9C-101B-9397-08002B2CF9AE}" pid="13" name="MSIP_Label_4ba86659-d6e4-4b6d-88ae-202639b32f10_SiteId">
    <vt:lpwstr>f7f84514-8dcd-479a-9ae7-7501fc047b54</vt:lpwstr>
  </property>
  <property fmtid="{D5CDD505-2E9C-101B-9397-08002B2CF9AE}" pid="14" name="MSIP_Label_4ba86659-d6e4-4b6d-88ae-202639b32f10_ActionId">
    <vt:lpwstr>c0204aa1-db48-48e1-b0ee-bbfbcff2e8f7</vt:lpwstr>
  </property>
  <property fmtid="{D5CDD505-2E9C-101B-9397-08002B2CF9AE}" pid="15" name="MSIP_Label_4ba86659-d6e4-4b6d-88ae-202639b32f10_ContentBits">
    <vt:lpwstr>3</vt:lpwstr>
  </property>
  <property fmtid="{D5CDD505-2E9C-101B-9397-08002B2CF9AE}" pid="16" name="MediaServiceImageTags">
    <vt:lpwstr/>
  </property>
</Properties>
</file>