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41A2" w14:textId="33B5E873" w:rsidR="006177AC" w:rsidRPr="00396177" w:rsidRDefault="00396177" w:rsidP="00396177">
      <w:pPr>
        <w:pStyle w:val="Heading1"/>
        <w:rPr>
          <w:rStyle w:val="Heading1Char"/>
          <w:rFonts w:ascii="Work Sans SemiBold" w:hAnsi="Work Sans SemiBold"/>
          <w:sz w:val="72"/>
          <w:szCs w:val="7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C214DF" wp14:editId="2A2022A2">
            <wp:simplePos x="0" y="0"/>
            <wp:positionH relativeFrom="margin">
              <wp:align>left</wp:align>
            </wp:positionH>
            <wp:positionV relativeFrom="page">
              <wp:posOffset>654050</wp:posOffset>
            </wp:positionV>
            <wp:extent cx="3187065" cy="598170"/>
            <wp:effectExtent l="0" t="0" r="0" b="0"/>
            <wp:wrapTopAndBottom/>
            <wp:docPr id="659082661" name="Picture 8" descr="National Anti-Corruption Commi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2661" name="Picture 8" descr="National Anti-Corruption Commissio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7BF" w:rsidRPr="00396177">
        <w:rPr>
          <w:rStyle w:val="Heading1Char"/>
          <w:rFonts w:ascii="Work Sans SemiBold" w:hAnsi="Work Sans SemiBold"/>
          <w:sz w:val="72"/>
          <w:szCs w:val="78"/>
        </w:rPr>
        <w:t xml:space="preserve">Procedural </w:t>
      </w:r>
      <w:r w:rsidR="004A0D4A" w:rsidRPr="00396177">
        <w:rPr>
          <w:rStyle w:val="Heading1Char"/>
          <w:rFonts w:ascii="Work Sans SemiBold" w:hAnsi="Work Sans SemiBold"/>
          <w:sz w:val="72"/>
          <w:szCs w:val="78"/>
        </w:rPr>
        <w:t>f</w:t>
      </w:r>
      <w:r w:rsidR="00F237BF" w:rsidRPr="00396177">
        <w:rPr>
          <w:rStyle w:val="Heading1Char"/>
          <w:rFonts w:ascii="Work Sans SemiBold" w:hAnsi="Work Sans SemiBold"/>
          <w:sz w:val="72"/>
          <w:szCs w:val="78"/>
        </w:rPr>
        <w:t>airness</w:t>
      </w:r>
    </w:p>
    <w:p w14:paraId="0AB6AA6D" w14:textId="0DEA97C8" w:rsidR="00EE0418" w:rsidRDefault="00CC7B37" w:rsidP="00396177">
      <w:pPr>
        <w:pStyle w:val="Heading2"/>
      </w:pPr>
      <w:r>
        <w:t>What is procedural fairness</w:t>
      </w:r>
      <w:r w:rsidR="00555DF0">
        <w:t>?</w:t>
      </w:r>
    </w:p>
    <w:p w14:paraId="1243DA13" w14:textId="62D754D9" w:rsidR="005F5279" w:rsidRDefault="4775417C" w:rsidP="00EE0418">
      <w:r>
        <w:t xml:space="preserve">Some provisions of the </w:t>
      </w:r>
      <w:r w:rsidRPr="007C7BCD">
        <w:rPr>
          <w:i/>
        </w:rPr>
        <w:t>N</w:t>
      </w:r>
      <w:r w:rsidR="082E497D" w:rsidRPr="007C7BCD">
        <w:rPr>
          <w:i/>
        </w:rPr>
        <w:t xml:space="preserve">ational </w:t>
      </w:r>
      <w:r w:rsidRPr="007C7BCD">
        <w:rPr>
          <w:i/>
        </w:rPr>
        <w:t>A</w:t>
      </w:r>
      <w:r w:rsidR="419B28D1" w:rsidRPr="007C7BCD">
        <w:rPr>
          <w:i/>
        </w:rPr>
        <w:t>nti-</w:t>
      </w:r>
      <w:r w:rsidRPr="007C7BCD">
        <w:rPr>
          <w:i/>
        </w:rPr>
        <w:t>C</w:t>
      </w:r>
      <w:r w:rsidR="69F9BAA3" w:rsidRPr="007C7BCD">
        <w:rPr>
          <w:i/>
        </w:rPr>
        <w:t xml:space="preserve">orruption </w:t>
      </w:r>
      <w:r w:rsidRPr="007C7BCD">
        <w:rPr>
          <w:i/>
        </w:rPr>
        <w:t>C</w:t>
      </w:r>
      <w:r w:rsidR="615847CB" w:rsidRPr="007C7BCD">
        <w:rPr>
          <w:i/>
        </w:rPr>
        <w:t>ommission</w:t>
      </w:r>
      <w:r w:rsidRPr="007C7BCD">
        <w:rPr>
          <w:i/>
        </w:rPr>
        <w:t xml:space="preserve"> </w:t>
      </w:r>
      <w:r w:rsidR="5411A2A4" w:rsidRPr="007C7BCD">
        <w:rPr>
          <w:i/>
        </w:rPr>
        <w:t>Act</w:t>
      </w:r>
      <w:r w:rsidR="4D180B6A" w:rsidRPr="007C7BCD">
        <w:rPr>
          <w:i/>
        </w:rPr>
        <w:t xml:space="preserve"> 2022</w:t>
      </w:r>
      <w:r w:rsidR="4D180B6A">
        <w:t xml:space="preserve"> (NACC Act)</w:t>
      </w:r>
      <w:r w:rsidR="5411A2A4">
        <w:t xml:space="preserve">, as well as the general law and sound decision-making, require that </w:t>
      </w:r>
      <w:r w:rsidR="07F51C36">
        <w:t xml:space="preserve">before forming or </w:t>
      </w:r>
      <w:r w:rsidR="24D4D323">
        <w:t>publish</w:t>
      </w:r>
      <w:r w:rsidR="07F51C36">
        <w:t xml:space="preserve">ing </w:t>
      </w:r>
      <w:r w:rsidR="24D4D323">
        <w:t xml:space="preserve">findings, opinions or recommendations adverse to </w:t>
      </w:r>
      <w:r w:rsidR="39C360CD">
        <w:t xml:space="preserve">a person or agency, they be given an opportunity </w:t>
      </w:r>
      <w:r w:rsidR="01050EA7">
        <w:t>to address the</w:t>
      </w:r>
      <w:r w:rsidR="00396177">
        <w:t> </w:t>
      </w:r>
      <w:r w:rsidR="01050EA7">
        <w:t>adverse material.</w:t>
      </w:r>
    </w:p>
    <w:p w14:paraId="071F1B66" w14:textId="64A360FC" w:rsidR="003049EA" w:rsidRDefault="2ED7C369" w:rsidP="00EE0418">
      <w:r>
        <w:t xml:space="preserve">Procedural fairness </w:t>
      </w:r>
      <w:r w:rsidR="01050EA7">
        <w:t>is</w:t>
      </w:r>
      <w:r w:rsidR="0F1A0A56">
        <w:t xml:space="preserve"> sometimes called ‘natural justice’ </w:t>
      </w:r>
      <w:r w:rsidR="01050EA7">
        <w:t xml:space="preserve">because it </w:t>
      </w:r>
      <w:r w:rsidR="2C6A0EE4">
        <w:t>involves basic fairness to individuals whose interests could be adversely affected by a decision</w:t>
      </w:r>
      <w:r w:rsidR="5ACDAE1A">
        <w:t xml:space="preserve">. It has </w:t>
      </w:r>
      <w:r w:rsidR="00C56E0F">
        <w:t xml:space="preserve">2 </w:t>
      </w:r>
      <w:r w:rsidR="6F1DB159">
        <w:t>elements:</w:t>
      </w:r>
    </w:p>
    <w:p w14:paraId="7278CAFC" w14:textId="44CCA62E" w:rsidR="00FC3372" w:rsidRPr="00396177" w:rsidRDefault="005504EE" w:rsidP="00396177">
      <w:pPr>
        <w:pStyle w:val="Bullet1"/>
        <w:numPr>
          <w:ilvl w:val="0"/>
          <w:numId w:val="22"/>
        </w:numPr>
      </w:pPr>
      <w:r w:rsidRPr="00396177">
        <w:t>t</w:t>
      </w:r>
      <w:r w:rsidR="003049EA" w:rsidRPr="00396177">
        <w:t>he bias rule</w:t>
      </w:r>
      <w:r w:rsidR="00CF1008" w:rsidRPr="00396177">
        <w:t>:</w:t>
      </w:r>
      <w:r w:rsidR="003049EA" w:rsidRPr="00396177">
        <w:t xml:space="preserve"> </w:t>
      </w:r>
      <w:r w:rsidR="00D6555D" w:rsidRPr="00396177">
        <w:t>an individual is usually entitled to have a decision affecting their interests made by a person who is not affected</w:t>
      </w:r>
      <w:r w:rsidR="00396177">
        <w:t> </w:t>
      </w:r>
      <w:r w:rsidR="00D6555D" w:rsidRPr="00396177">
        <w:t>by</w:t>
      </w:r>
      <w:r w:rsidR="00396177">
        <w:t> </w:t>
      </w:r>
      <w:r w:rsidR="00D6555D" w:rsidRPr="00396177">
        <w:t>bias</w:t>
      </w:r>
    </w:p>
    <w:p w14:paraId="413637E3" w14:textId="71AF7473" w:rsidR="00FC3372" w:rsidRPr="00396177" w:rsidRDefault="005504EE" w:rsidP="00396177">
      <w:pPr>
        <w:pStyle w:val="Bullet1"/>
        <w:numPr>
          <w:ilvl w:val="0"/>
          <w:numId w:val="22"/>
        </w:numPr>
      </w:pPr>
      <w:r w:rsidRPr="00396177">
        <w:t>t</w:t>
      </w:r>
      <w:r w:rsidR="00FC3372" w:rsidRPr="00396177">
        <w:t>he hearing rule</w:t>
      </w:r>
      <w:r w:rsidR="00CF1008" w:rsidRPr="00396177">
        <w:t xml:space="preserve">: </w:t>
      </w:r>
      <w:r w:rsidR="00FC3372" w:rsidRPr="00396177">
        <w:t xml:space="preserve">an individual is entitled to </w:t>
      </w:r>
      <w:r w:rsidR="000E2A28" w:rsidRPr="00396177">
        <w:t xml:space="preserve">an opportunity to </w:t>
      </w:r>
      <w:r w:rsidR="00FC3372" w:rsidRPr="00396177">
        <w:t xml:space="preserve">be heard and to </w:t>
      </w:r>
      <w:r w:rsidR="000E2A28" w:rsidRPr="00396177">
        <w:t>have their</w:t>
      </w:r>
      <w:r w:rsidR="00FC3372" w:rsidRPr="00396177">
        <w:t xml:space="preserve"> submissions </w:t>
      </w:r>
      <w:proofErr w:type="gramStart"/>
      <w:r w:rsidR="000E2A28" w:rsidRPr="00396177">
        <w:t>taken into account</w:t>
      </w:r>
      <w:proofErr w:type="gramEnd"/>
      <w:r w:rsidR="000E2A28" w:rsidRPr="00396177">
        <w:t xml:space="preserve"> </w:t>
      </w:r>
      <w:r w:rsidR="00FC3372" w:rsidRPr="00396177">
        <w:t>before a decision adverse to their interests is made.</w:t>
      </w:r>
      <w:r w:rsidR="00396177">
        <w:t xml:space="preserve"> </w:t>
      </w:r>
    </w:p>
    <w:p w14:paraId="5D10FA2E" w14:textId="702BF408" w:rsidR="00527DEF" w:rsidRPr="00527DEF" w:rsidRDefault="2693D098" w:rsidP="00527DEF">
      <w:r>
        <w:t>Procedural fairness is a</w:t>
      </w:r>
      <w:r w:rsidR="49CBFDF0">
        <w:t xml:space="preserve">n essential legal </w:t>
      </w:r>
      <w:r>
        <w:t xml:space="preserve">requirement </w:t>
      </w:r>
      <w:r w:rsidR="2F987E23">
        <w:t xml:space="preserve">of most administrative decision-making </w:t>
      </w:r>
      <w:r w:rsidR="49CBFDF0">
        <w:t>process</w:t>
      </w:r>
      <w:r w:rsidR="2C855673">
        <w:t>es</w:t>
      </w:r>
      <w:r w:rsidR="49CBFDF0">
        <w:t xml:space="preserve"> </w:t>
      </w:r>
      <w:r w:rsidR="2F987E23">
        <w:t xml:space="preserve">that </w:t>
      </w:r>
      <w:r w:rsidR="49CBFDF0">
        <w:t xml:space="preserve">affect </w:t>
      </w:r>
      <w:r w:rsidR="2F987E23">
        <w:t>the rights, interests or legitimate expectations of a person</w:t>
      </w:r>
      <w:r w:rsidR="49CBFDF0">
        <w:t xml:space="preserve">. </w:t>
      </w:r>
      <w:r w:rsidR="78C48936">
        <w:t>While procedural fairness is sometimes specifically required by legislation, giving procedural fairness to a person who may potentially be adversely affected by an investigation or public disclosure is also good decision</w:t>
      </w:r>
      <w:r w:rsidR="001B18CF">
        <w:t>-</w:t>
      </w:r>
      <w:r w:rsidR="78C48936">
        <w:t>making, because it helps ensure that all relevant evidence and submissions</w:t>
      </w:r>
      <w:r w:rsidR="112DC72E">
        <w:t xml:space="preserve"> are considered</w:t>
      </w:r>
      <w:r w:rsidR="78C48936">
        <w:t>.</w:t>
      </w:r>
    </w:p>
    <w:p w14:paraId="01ADA593" w14:textId="3A3B03D9" w:rsidR="00B01FAC" w:rsidRPr="00F61A72" w:rsidRDefault="15A10401" w:rsidP="00396177">
      <w:pPr>
        <w:pStyle w:val="Heading2"/>
      </w:pPr>
      <w:r w:rsidRPr="775BC1C4">
        <w:lastRenderedPageBreak/>
        <w:t>T</w:t>
      </w:r>
      <w:r w:rsidR="24774079" w:rsidRPr="775BC1C4">
        <w:t xml:space="preserve">he </w:t>
      </w:r>
      <w:r w:rsidR="290DEC7D" w:rsidRPr="775BC1C4">
        <w:t>N</w:t>
      </w:r>
      <w:r w:rsidR="661BAF52" w:rsidRPr="775BC1C4">
        <w:t xml:space="preserve">ACC </w:t>
      </w:r>
      <w:r w:rsidR="262A8461" w:rsidRPr="775BC1C4">
        <w:t>Act</w:t>
      </w:r>
      <w:r w:rsidR="433074AF" w:rsidRPr="775BC1C4">
        <w:t xml:space="preserve"> </w:t>
      </w:r>
      <w:r w:rsidRPr="775BC1C4">
        <w:t>and</w:t>
      </w:r>
      <w:r w:rsidR="3054B87F" w:rsidRPr="775BC1C4">
        <w:t xml:space="preserve"> procedural fairness</w:t>
      </w:r>
    </w:p>
    <w:p w14:paraId="48F2CBB7" w14:textId="68D12B92" w:rsidR="002223B4" w:rsidRDefault="00897359" w:rsidP="00EC54A6">
      <w:r>
        <w:t>T</w:t>
      </w:r>
      <w:r w:rsidR="00D564F2">
        <w:t xml:space="preserve">he </w:t>
      </w:r>
      <w:r w:rsidR="00632CD1">
        <w:t xml:space="preserve">NACC Act </w:t>
      </w:r>
      <w:r w:rsidR="002223B4">
        <w:t xml:space="preserve">requires the </w:t>
      </w:r>
      <w:r w:rsidR="00D564F2">
        <w:t xml:space="preserve">Commission </w:t>
      </w:r>
      <w:r w:rsidR="002223B4">
        <w:t xml:space="preserve">to provide procedural fairness in </w:t>
      </w:r>
      <w:r w:rsidR="001B18CF">
        <w:t>4</w:t>
      </w:r>
      <w:r w:rsidR="00396177">
        <w:t> </w:t>
      </w:r>
      <w:r w:rsidR="002223B4">
        <w:t>circumstances</w:t>
      </w:r>
      <w:r w:rsidR="00CE7737">
        <w:t>, namely before</w:t>
      </w:r>
      <w:r w:rsidR="002223B4">
        <w:t>:</w:t>
      </w:r>
    </w:p>
    <w:p w14:paraId="6C5766B6" w14:textId="5C4EF412" w:rsidR="002223B4" w:rsidRDefault="6E0DE25F" w:rsidP="007C7BCD">
      <w:pPr>
        <w:pStyle w:val="ListParagraph"/>
        <w:numPr>
          <w:ilvl w:val="0"/>
          <w:numId w:val="1"/>
        </w:numPr>
      </w:pPr>
      <w:r>
        <w:t xml:space="preserve">including </w:t>
      </w:r>
      <w:r w:rsidR="077716FF">
        <w:t xml:space="preserve">in an investigation report </w:t>
      </w:r>
      <w:r>
        <w:t>a</w:t>
      </w:r>
      <w:r w:rsidR="077716FF">
        <w:t>n</w:t>
      </w:r>
      <w:r w:rsidR="00CF7F32" w:rsidDel="14B43422">
        <w:t xml:space="preserve"> </w:t>
      </w:r>
      <w:r>
        <w:t>opinion, finding or recommendation</w:t>
      </w:r>
      <w:r w:rsidR="077716FF">
        <w:t xml:space="preserve"> that is expressly or impliedly critical of a person</w:t>
      </w:r>
      <w:r w:rsidR="00465996">
        <w:rPr>
          <w:rStyle w:val="FootnoteReference"/>
        </w:rPr>
        <w:footnoteReference w:id="2"/>
      </w:r>
    </w:p>
    <w:p w14:paraId="2CE29559" w14:textId="5BF63D90" w:rsidR="004B3669" w:rsidRDefault="205644A3" w:rsidP="002B7D00">
      <w:pPr>
        <w:pStyle w:val="ListParagraph"/>
        <w:numPr>
          <w:ilvl w:val="0"/>
          <w:numId w:val="1"/>
        </w:numPr>
      </w:pPr>
      <w:r>
        <w:t>publishing an investigation report which contains an opinion, finding or recommendation that is expressly or impliedly critical of a person</w:t>
      </w:r>
    </w:p>
    <w:p w14:paraId="0C36C3CD" w14:textId="199FF2CB" w:rsidR="004B3669" w:rsidRDefault="1F090153" w:rsidP="002B7D00">
      <w:pPr>
        <w:pStyle w:val="ListParagraph"/>
        <w:numPr>
          <w:ilvl w:val="0"/>
          <w:numId w:val="1"/>
        </w:numPr>
      </w:pPr>
      <w:r>
        <w:t>publicly disclosing information that contains an opinion, finding or recommendation that is expressly or impliedly critical of a person</w:t>
      </w:r>
      <w:r w:rsidR="004B3669" w:rsidRPr="205644A3">
        <w:rPr>
          <w:rStyle w:val="FootnoteReference"/>
        </w:rPr>
        <w:footnoteReference w:id="3"/>
      </w:r>
      <w:r>
        <w:t xml:space="preserve"> </w:t>
      </w:r>
    </w:p>
    <w:p w14:paraId="0EF0E8C9" w14:textId="1509FA58" w:rsidR="004B3669" w:rsidRDefault="205644A3" w:rsidP="002B7D00">
      <w:pPr>
        <w:pStyle w:val="ListParagraph"/>
        <w:numPr>
          <w:ilvl w:val="0"/>
          <w:numId w:val="1"/>
        </w:numPr>
      </w:pPr>
      <w:r>
        <w:t xml:space="preserve">making a comment on, or additional recommendation in relation to a report on the completion of an investigation from a Commonwealth agency, </w:t>
      </w:r>
      <w:r w:rsidR="00FE4FF6">
        <w:t>s</w:t>
      </w:r>
      <w:r>
        <w:t xml:space="preserve">tate or </w:t>
      </w:r>
      <w:r w:rsidR="00FE4FF6">
        <w:t>t</w:t>
      </w:r>
      <w:r>
        <w:t xml:space="preserve">erritory government, or </w:t>
      </w:r>
      <w:proofErr w:type="gramStart"/>
      <w:r>
        <w:t>other</w:t>
      </w:r>
      <w:proofErr w:type="gramEnd"/>
      <w:r>
        <w:t xml:space="preserve"> person</w:t>
      </w:r>
      <w:r w:rsidR="00984927">
        <w:t>.</w:t>
      </w:r>
      <w:r w:rsidR="004B3669" w:rsidRPr="205644A3">
        <w:rPr>
          <w:rStyle w:val="FootnoteReference"/>
        </w:rPr>
        <w:footnoteReference w:id="4"/>
      </w:r>
    </w:p>
    <w:p w14:paraId="7EA37D86" w14:textId="3AD5ACE7" w:rsidR="00465996" w:rsidRPr="00465996" w:rsidRDefault="00465996" w:rsidP="00396177">
      <w:pPr>
        <w:pStyle w:val="Heading2"/>
      </w:pPr>
      <w:r w:rsidRPr="00465996">
        <w:t xml:space="preserve">Investigation </w:t>
      </w:r>
      <w:r w:rsidR="000853DA">
        <w:t>r</w:t>
      </w:r>
      <w:r w:rsidRPr="00465996">
        <w:t xml:space="preserve">eports </w:t>
      </w:r>
    </w:p>
    <w:p w14:paraId="0F640571" w14:textId="4E66DC35" w:rsidR="00CD4C3E" w:rsidRDefault="0FD5DF45" w:rsidP="00EC54A6">
      <w:r>
        <w:t>If t</w:t>
      </w:r>
      <w:r w:rsidR="1A943E88">
        <w:t xml:space="preserve">he Commission </w:t>
      </w:r>
      <w:r>
        <w:t xml:space="preserve">is considering making a finding, </w:t>
      </w:r>
      <w:r w:rsidR="239DE78E">
        <w:t xml:space="preserve">opinion or recommendation </w:t>
      </w:r>
      <w:r w:rsidR="00217A4F">
        <w:t xml:space="preserve">in an investigation report </w:t>
      </w:r>
      <w:r w:rsidR="2B6579B7">
        <w:t xml:space="preserve">that is critical of </w:t>
      </w:r>
      <w:r w:rsidR="239DE78E">
        <w:t>a</w:t>
      </w:r>
      <w:r w:rsidR="2B6579B7">
        <w:t xml:space="preserve"> person</w:t>
      </w:r>
      <w:r w:rsidR="239DE78E">
        <w:t>, the Commission must provide the person an opportunity to make submissions before including a</w:t>
      </w:r>
      <w:r w:rsidR="3011831F">
        <w:t xml:space="preserve"> critical</w:t>
      </w:r>
      <w:r w:rsidR="239DE78E">
        <w:t xml:space="preserve"> opinion, finding or recommendation</w:t>
      </w:r>
      <w:r w:rsidR="3011831F">
        <w:t xml:space="preserve"> in a report</w:t>
      </w:r>
      <w:r w:rsidR="4A26CEED">
        <w:t>.</w:t>
      </w:r>
      <w:r w:rsidR="000D103D">
        <w:rPr>
          <w:rStyle w:val="FootnoteReference"/>
        </w:rPr>
        <w:footnoteReference w:id="5"/>
      </w:r>
      <w:r w:rsidR="76B4A7AA">
        <w:t xml:space="preserve"> </w:t>
      </w:r>
      <w:r w:rsidR="04839459">
        <w:t>This extends to the head of an agency or entity if</w:t>
      </w:r>
      <w:r w:rsidR="7CACD19C">
        <w:t xml:space="preserve"> the critical opinion, finding or recommendation relates to the agency or entity. </w:t>
      </w:r>
    </w:p>
    <w:p w14:paraId="21AD489D" w14:textId="77777777" w:rsidR="00396177" w:rsidRDefault="00CD4C3E" w:rsidP="00EC54A6">
      <w:r>
        <w:t xml:space="preserve">While the most obvious case of this </w:t>
      </w:r>
      <w:r w:rsidR="00EA4D78">
        <w:t xml:space="preserve">is a potential finding that a person has engaged in corrupt conduct, it extends to any </w:t>
      </w:r>
      <w:r w:rsidR="00F426B2">
        <w:t xml:space="preserve">potential </w:t>
      </w:r>
      <w:r w:rsidR="00F426B2" w:rsidRPr="00F426B2">
        <w:t xml:space="preserve">opinion, finding or recommendation that is </w:t>
      </w:r>
      <w:r w:rsidR="00F426B2" w:rsidRPr="007C7BCD">
        <w:rPr>
          <w:i/>
        </w:rPr>
        <w:t>expressly or impliedly</w:t>
      </w:r>
      <w:r w:rsidR="00F426B2" w:rsidRPr="00F426B2">
        <w:t xml:space="preserve"> critical of a person</w:t>
      </w:r>
      <w:r w:rsidR="00F426B2">
        <w:t>.</w:t>
      </w:r>
      <w:r w:rsidR="00396177">
        <w:br w:type="page"/>
      </w:r>
    </w:p>
    <w:p w14:paraId="740D3610" w14:textId="3818CCDF" w:rsidR="00D564F2" w:rsidRDefault="002638EF" w:rsidP="00EC54A6">
      <w:r>
        <w:lastRenderedPageBreak/>
        <w:t>Practically,</w:t>
      </w:r>
      <w:r w:rsidR="00CE4A25">
        <w:t xml:space="preserve"> this means </w:t>
      </w:r>
      <w:r w:rsidR="008D1036">
        <w:t>providing</w:t>
      </w:r>
      <w:r w:rsidR="004B26D4">
        <w:t xml:space="preserve"> the individual with</w:t>
      </w:r>
      <w:r w:rsidR="00D33FA1">
        <w:t>:</w:t>
      </w:r>
    </w:p>
    <w:p w14:paraId="3590DC95" w14:textId="660EA98A" w:rsidR="00D33FA1" w:rsidRDefault="00147620" w:rsidP="00396177">
      <w:pPr>
        <w:pStyle w:val="Bullet1"/>
      </w:pPr>
      <w:r>
        <w:t xml:space="preserve">a </w:t>
      </w:r>
      <w:r w:rsidR="00D33FA1">
        <w:t xml:space="preserve">statement setting out the </w:t>
      </w:r>
      <w:r w:rsidR="007F4D22">
        <w:t>p</w:t>
      </w:r>
      <w:r w:rsidR="00B6773F">
        <w:t>otential</w:t>
      </w:r>
      <w:r w:rsidR="007F4D22">
        <w:t xml:space="preserve"> critical </w:t>
      </w:r>
      <w:r w:rsidR="00D33FA1">
        <w:t>opinion, finding, or recommendations</w:t>
      </w:r>
      <w:r w:rsidR="005F0382">
        <w:t xml:space="preserve">, the reasons </w:t>
      </w:r>
      <w:r w:rsidR="00B6773F">
        <w:t>it is under consideration</w:t>
      </w:r>
      <w:r w:rsidR="00340E24">
        <w:t>,</w:t>
      </w:r>
      <w:r w:rsidR="00AC0A54">
        <w:t xml:space="preserve"> and a summary of the evidence </w:t>
      </w:r>
      <w:r w:rsidR="00AC0A54" w:rsidDel="00B6773F">
        <w:t xml:space="preserve">which </w:t>
      </w:r>
      <w:r w:rsidR="00B6773F">
        <w:t>supports it</w:t>
      </w:r>
    </w:p>
    <w:p w14:paraId="5CF10D1B" w14:textId="7EA8BBFC" w:rsidR="00D33FA1" w:rsidRDefault="00147620" w:rsidP="00396177">
      <w:pPr>
        <w:pStyle w:val="Bullet1"/>
      </w:pPr>
      <w:r>
        <w:t xml:space="preserve">a </w:t>
      </w:r>
      <w:r w:rsidR="00D33FA1">
        <w:t xml:space="preserve">reasonable </w:t>
      </w:r>
      <w:r w:rsidR="006241C0">
        <w:t>opportunity to respond.</w:t>
      </w:r>
    </w:p>
    <w:p w14:paraId="0B80B7A7" w14:textId="0B4EE4B8" w:rsidR="00FD6C15" w:rsidRDefault="00A24D83" w:rsidP="00EC54A6">
      <w:r>
        <w:t>If the individual or head of the agency or entity responds, the response must be considered</w:t>
      </w:r>
      <w:r w:rsidR="00943E7A">
        <w:t>.</w:t>
      </w:r>
      <w:r>
        <w:t xml:space="preserve"> </w:t>
      </w:r>
      <w:r w:rsidR="00943E7A">
        <w:t>A</w:t>
      </w:r>
      <w:r>
        <w:t xml:space="preserve"> decision </w:t>
      </w:r>
      <w:r w:rsidR="00943E7A">
        <w:t xml:space="preserve">will then be </w:t>
      </w:r>
      <w:r>
        <w:t>made whether to include the</w:t>
      </w:r>
      <w:r w:rsidR="00F53B0E">
        <w:t xml:space="preserve"> critical opinion, finding or recommendation</w:t>
      </w:r>
      <w:r w:rsidR="00FE5A4B">
        <w:t xml:space="preserve">, or to amend or exclude, it </w:t>
      </w:r>
      <w:proofErr w:type="gramStart"/>
      <w:r w:rsidR="00FE5A4B">
        <w:t>in light of</w:t>
      </w:r>
      <w:proofErr w:type="gramEnd"/>
      <w:r w:rsidR="00FE5A4B">
        <w:t xml:space="preserve"> any matters raised in the response.</w:t>
      </w:r>
    </w:p>
    <w:p w14:paraId="08DA1F15" w14:textId="5AD051A7" w:rsidR="003A058E" w:rsidRDefault="6BB01843" w:rsidP="00EC54A6">
      <w:r>
        <w:t xml:space="preserve">Similarly, if the Commission </w:t>
      </w:r>
      <w:r w:rsidR="69106FE3">
        <w:t>is considering</w:t>
      </w:r>
      <w:r>
        <w:t xml:space="preserve"> </w:t>
      </w:r>
      <w:r w:rsidR="47EEF466" w:rsidRPr="007C7BCD">
        <w:rPr>
          <w:i/>
        </w:rPr>
        <w:t>publish</w:t>
      </w:r>
      <w:r w:rsidR="0FD5DF45" w:rsidRPr="205644A3">
        <w:rPr>
          <w:i/>
          <w:iCs/>
        </w:rPr>
        <w:t>ing</w:t>
      </w:r>
      <w:r w:rsidR="47EEF466" w:rsidRPr="007C7BCD">
        <w:rPr>
          <w:i/>
        </w:rPr>
        <w:t xml:space="preserve"> </w:t>
      </w:r>
      <w:r w:rsidR="47EEF466">
        <w:t xml:space="preserve">an investigation report which contains </w:t>
      </w:r>
      <w:r w:rsidR="513F6733">
        <w:t xml:space="preserve">a </w:t>
      </w:r>
      <w:r w:rsidR="47EEF466">
        <w:t>critical opinion, finding or recommendation</w:t>
      </w:r>
      <w:r w:rsidR="513F6733">
        <w:t xml:space="preserve"> (express or implied)</w:t>
      </w:r>
      <w:r w:rsidR="47EEF466">
        <w:t xml:space="preserve"> </w:t>
      </w:r>
      <w:r w:rsidR="1EBB7E70">
        <w:t>relating to an agency, entity or individual</w:t>
      </w:r>
      <w:r w:rsidR="00FE4DDC">
        <w:t>,</w:t>
      </w:r>
      <w:r w:rsidR="1EBB7E70">
        <w:t xml:space="preserve"> </w:t>
      </w:r>
      <w:r w:rsidR="1CE6D009">
        <w:t>they must be given the</w:t>
      </w:r>
      <w:r w:rsidR="23002472">
        <w:t xml:space="preserve"> </w:t>
      </w:r>
      <w:r w:rsidR="1CE6D009">
        <w:t xml:space="preserve">opportunity </w:t>
      </w:r>
      <w:r w:rsidR="03BB8CA8">
        <w:t>to respond to both the opinion, finding or recommendation</w:t>
      </w:r>
      <w:r w:rsidR="161D7EB7">
        <w:t>,</w:t>
      </w:r>
      <w:r w:rsidR="03BB8CA8">
        <w:t xml:space="preserve"> and</w:t>
      </w:r>
      <w:r w:rsidR="00396177">
        <w:t> </w:t>
      </w:r>
      <w:r w:rsidR="03BB8CA8">
        <w:t>the proposed publication.</w:t>
      </w:r>
      <w:r w:rsidR="001D5B81">
        <w:rPr>
          <w:rStyle w:val="FootnoteReference"/>
        </w:rPr>
        <w:footnoteReference w:id="6"/>
      </w:r>
      <w:r w:rsidR="3A69E57B">
        <w:t xml:space="preserve"> The process will follow the steps</w:t>
      </w:r>
      <w:r w:rsidR="78C48936">
        <w:t xml:space="preserve"> described</w:t>
      </w:r>
      <w:r w:rsidR="00396177">
        <w:t> </w:t>
      </w:r>
      <w:r w:rsidR="3A69E57B">
        <w:t>above.</w:t>
      </w:r>
    </w:p>
    <w:p w14:paraId="090ECB0D" w14:textId="2AA72E05" w:rsidR="00381E6B" w:rsidRPr="00381E6B" w:rsidRDefault="00381E6B" w:rsidP="00396177">
      <w:pPr>
        <w:pStyle w:val="Heading2"/>
      </w:pPr>
      <w:r w:rsidRPr="00381E6B">
        <w:t>Public disclosure of information</w:t>
      </w:r>
    </w:p>
    <w:p w14:paraId="6B81CAC6" w14:textId="13BFDE32" w:rsidR="00396177" w:rsidRDefault="000F564E" w:rsidP="00EC54A6">
      <w:r>
        <w:t xml:space="preserve">If </w:t>
      </w:r>
      <w:r w:rsidRPr="000F564E">
        <w:t>the Commission is considering publicly disclosing information (in the limited circumstances in which it is lawfully permitted to do so), including through a public statement, and the proposed disclosure contains an opinion, finding or recommendation that is expressly or impliedly critical of a person, the individual (or the head of the agency or entity) must be given procedural fairness before any disclosure.</w:t>
      </w:r>
      <w:r>
        <w:t xml:space="preserve"> </w:t>
      </w:r>
      <w:r w:rsidRPr="000F564E">
        <w:t>In addition, procedural fairness may also require providing a person on whom a public statement may reflect an opportunity to comment.</w:t>
      </w:r>
      <w:r w:rsidR="3D622D3C">
        <w:t xml:space="preserve"> </w:t>
      </w:r>
      <w:r w:rsidR="00396177">
        <w:br w:type="page"/>
      </w:r>
    </w:p>
    <w:p w14:paraId="07D5A448" w14:textId="043E6DA7" w:rsidR="00976046" w:rsidRDefault="000F22CF" w:rsidP="00EC54A6">
      <w:r>
        <w:lastRenderedPageBreak/>
        <w:t xml:space="preserve">As </w:t>
      </w:r>
      <w:r w:rsidR="00EC691C">
        <w:t>with</w:t>
      </w:r>
      <w:r>
        <w:t xml:space="preserve"> the investigati</w:t>
      </w:r>
      <w:r w:rsidR="00B9272D">
        <w:t>on report</w:t>
      </w:r>
      <w:r>
        <w:t xml:space="preserve"> process, this will </w:t>
      </w:r>
      <w:r w:rsidR="008D6894">
        <w:t xml:space="preserve">usually </w:t>
      </w:r>
      <w:r>
        <w:t>involve</w:t>
      </w:r>
      <w:r w:rsidDel="00976046">
        <w:t xml:space="preserve"> </w:t>
      </w:r>
      <w:r w:rsidR="00976046">
        <w:t>providing t</w:t>
      </w:r>
      <w:r w:rsidR="00395CE6">
        <w:t xml:space="preserve">he individual </w:t>
      </w:r>
      <w:r w:rsidR="00976046">
        <w:t>(or the head of the agency or entity) with:</w:t>
      </w:r>
    </w:p>
    <w:p w14:paraId="72933525" w14:textId="52356936" w:rsidR="00976046" w:rsidRDefault="007C5E86" w:rsidP="00396177">
      <w:pPr>
        <w:pStyle w:val="Bullet1"/>
      </w:pPr>
      <w:r>
        <w:t xml:space="preserve">a </w:t>
      </w:r>
      <w:r w:rsidR="00395CE6">
        <w:t>copy of the proposed disclosure</w:t>
      </w:r>
    </w:p>
    <w:p w14:paraId="1342899F" w14:textId="62A8ED7F" w:rsidR="00976046" w:rsidRDefault="007C5E86" w:rsidP="00396177">
      <w:pPr>
        <w:pStyle w:val="Bullet1"/>
      </w:pPr>
      <w:r>
        <w:t xml:space="preserve">a </w:t>
      </w:r>
      <w:r w:rsidR="003D2DF8">
        <w:t>reasonable opportunity to respond.</w:t>
      </w:r>
      <w:r w:rsidR="004A3229">
        <w:t xml:space="preserve"> </w:t>
      </w:r>
    </w:p>
    <w:p w14:paraId="48D4942B" w14:textId="3DA4F78D" w:rsidR="000A568A" w:rsidRDefault="00C64CB8" w:rsidP="00976046">
      <w:r w:rsidRPr="00C64CB8">
        <w:t>If they provide a response, it must be considered and a decision made whether to proceed with the disclosure as proposed, or in an amended form, or not at all</w:t>
      </w:r>
      <w:r w:rsidR="004A3229">
        <w:t>.</w:t>
      </w:r>
    </w:p>
    <w:p w14:paraId="76A57B1C" w14:textId="089396B5" w:rsidR="00527DEF" w:rsidRDefault="00527DEF" w:rsidP="00396177">
      <w:pPr>
        <w:pStyle w:val="Heading2"/>
      </w:pPr>
      <w:r>
        <w:t>Completion reports</w:t>
      </w:r>
    </w:p>
    <w:p w14:paraId="4570E139" w14:textId="2C067E86" w:rsidR="00527DEF" w:rsidRPr="00E93655" w:rsidRDefault="00C45038" w:rsidP="00527DEF">
      <w:r>
        <w:t>I</w:t>
      </w:r>
      <w:r w:rsidR="00527DEF">
        <w:t xml:space="preserve">f the Commission </w:t>
      </w:r>
      <w:r w:rsidR="00BD2C06">
        <w:t>is considering</w:t>
      </w:r>
      <w:r w:rsidR="00527DEF">
        <w:t xml:space="preserve"> mak</w:t>
      </w:r>
      <w:r w:rsidR="00BD2C06">
        <w:t>ing</w:t>
      </w:r>
      <w:r w:rsidR="00527DEF">
        <w:t xml:space="preserve"> a critical comment on, or recommendation in relation to</w:t>
      </w:r>
      <w:r>
        <w:t>,</w:t>
      </w:r>
      <w:r w:rsidR="00527DEF">
        <w:t xml:space="preserve"> a report by a Commonwealth agency about the completion of an investigation</w:t>
      </w:r>
      <w:r>
        <w:t xml:space="preserve"> conducted by the agency</w:t>
      </w:r>
      <w:r w:rsidR="00527DEF">
        <w:t>, the head of the agency or entity</w:t>
      </w:r>
      <w:r>
        <w:t xml:space="preserve"> (</w:t>
      </w:r>
      <w:r w:rsidR="00527DEF">
        <w:t>or person representing them</w:t>
      </w:r>
      <w:r>
        <w:t>)</w:t>
      </w:r>
      <w:r w:rsidR="00527DEF">
        <w:t xml:space="preserve"> must be given </w:t>
      </w:r>
      <w:r w:rsidR="00BD2C06">
        <w:t>an opportunity to make submissions about it</w:t>
      </w:r>
      <w:r w:rsidR="00034B80">
        <w:t>.</w:t>
      </w:r>
    </w:p>
    <w:p w14:paraId="251A304C" w14:textId="7DFFB364" w:rsidR="00EC54A6" w:rsidRPr="00EC54A6" w:rsidRDefault="00EC54A6" w:rsidP="00396177">
      <w:pPr>
        <w:pStyle w:val="Heading2"/>
      </w:pPr>
      <w:r w:rsidRPr="00EC54A6">
        <w:t>What is not required by procedural fairness?</w:t>
      </w:r>
    </w:p>
    <w:p w14:paraId="66BA16D9" w14:textId="7FFDEC73" w:rsidR="00AA6E68" w:rsidRDefault="00084459" w:rsidP="00EE0418">
      <w:r>
        <w:t>Procedural fairness does not</w:t>
      </w:r>
      <w:r w:rsidR="00077DA9">
        <w:t xml:space="preserve"> require that</w:t>
      </w:r>
      <w:r w:rsidR="003A058E">
        <w:t xml:space="preserve"> a person</w:t>
      </w:r>
      <w:r w:rsidR="00EF7688" w:rsidRPr="00EF7688">
        <w:t xml:space="preserve"> </w:t>
      </w:r>
      <w:r w:rsidR="00EF7688">
        <w:t>whose conduct is referred to the Commission</w:t>
      </w:r>
      <w:r w:rsidR="00AA6E68">
        <w:t>:</w:t>
      </w:r>
      <w:r>
        <w:t xml:space="preserve"> </w:t>
      </w:r>
    </w:p>
    <w:p w14:paraId="1CB4D75D" w14:textId="523861A0" w:rsidR="00EE0418" w:rsidRDefault="00084459" w:rsidP="00396177">
      <w:pPr>
        <w:pStyle w:val="Bullet1"/>
      </w:pPr>
      <w:r>
        <w:t>is informed of a referral</w:t>
      </w:r>
      <w:r w:rsidR="00F43DF3">
        <w:t xml:space="preserve"> as soon as it is received or an investigation commenced</w:t>
      </w:r>
    </w:p>
    <w:p w14:paraId="6F0A8FB1" w14:textId="2A7066E3" w:rsidR="00CE7737" w:rsidRDefault="00CE7737" w:rsidP="00396177">
      <w:pPr>
        <w:pStyle w:val="Bullet1"/>
      </w:pPr>
      <w:r>
        <w:t>be told or consulted on</w:t>
      </w:r>
      <w:r w:rsidR="00A509EF">
        <w:t xml:space="preserve"> whether or</w:t>
      </w:r>
      <w:r>
        <w:t xml:space="preserve"> how the Commission undertakes a preliminary investigation or corruption investigation</w:t>
      </w:r>
    </w:p>
    <w:p w14:paraId="42C75421" w14:textId="3172B086" w:rsidR="00077DA9" w:rsidRDefault="00FE61EE" w:rsidP="00396177">
      <w:pPr>
        <w:pStyle w:val="Bullet1"/>
      </w:pPr>
      <w:r>
        <w:t>be told the id</w:t>
      </w:r>
      <w:r w:rsidR="00A31EF6">
        <w:t>entity of the person who referred their conduct</w:t>
      </w:r>
    </w:p>
    <w:p w14:paraId="58E8BAFF" w14:textId="77777777" w:rsidR="00396177" w:rsidRDefault="005026E9" w:rsidP="00045BA3">
      <w:pPr>
        <w:pStyle w:val="Bullet1"/>
      </w:pPr>
      <w:r>
        <w:t xml:space="preserve">be told about an allegation against them that the Commission </w:t>
      </w:r>
      <w:r w:rsidR="00C253E6">
        <w:t xml:space="preserve">decides </w:t>
      </w:r>
      <w:r w:rsidR="00CF5332">
        <w:t xml:space="preserve">not to </w:t>
      </w:r>
      <w:proofErr w:type="gramStart"/>
      <w:r w:rsidR="00CF5332">
        <w:t>investigate</w:t>
      </w:r>
      <w:r w:rsidR="00C253E6">
        <w:t>, or</w:t>
      </w:r>
      <w:proofErr w:type="gramEnd"/>
      <w:r w:rsidR="00C253E6">
        <w:t xml:space="preserve"> decides </w:t>
      </w:r>
      <w:r w:rsidR="002763C5">
        <w:t>does not raise a corruption</w:t>
      </w:r>
      <w:r w:rsidR="00396177">
        <w:t> </w:t>
      </w:r>
      <w:r w:rsidR="002763C5">
        <w:t>issue</w:t>
      </w:r>
      <w:r w:rsidR="000B5ACC">
        <w:t>.</w:t>
      </w:r>
      <w:r w:rsidR="00396177">
        <w:br w:type="page"/>
      </w:r>
    </w:p>
    <w:p w14:paraId="64557EAD" w14:textId="051D87A0" w:rsidR="00FE7BA8" w:rsidRDefault="00FE7BA8" w:rsidP="00396177">
      <w:r>
        <w:lastRenderedPageBreak/>
        <w:t>Procedural fairness:</w:t>
      </w:r>
    </w:p>
    <w:p w14:paraId="73E53746" w14:textId="3BCE5D19" w:rsidR="00FE7BA8" w:rsidRDefault="00FE7BA8" w:rsidP="00396177">
      <w:pPr>
        <w:pStyle w:val="Bullet1"/>
      </w:pPr>
      <w:r>
        <w:t xml:space="preserve">does not apply to decisions </w:t>
      </w:r>
      <w:proofErr w:type="gramStart"/>
      <w:r w:rsidR="00FA44D2">
        <w:t>whether or not</w:t>
      </w:r>
      <w:proofErr w:type="gramEnd"/>
      <w:r w:rsidR="00FA44D2">
        <w:t xml:space="preserve"> to commence an</w:t>
      </w:r>
      <w:r w:rsidR="00396177">
        <w:t> </w:t>
      </w:r>
      <w:r w:rsidR="00FA44D2">
        <w:t>investigation</w:t>
      </w:r>
    </w:p>
    <w:p w14:paraId="15C6B763" w14:textId="67D3288E" w:rsidR="00D876BC" w:rsidRPr="00827401" w:rsidRDefault="00D876BC" w:rsidP="00396177">
      <w:pPr>
        <w:pStyle w:val="Bullet1"/>
      </w:pPr>
      <w:r>
        <w:t xml:space="preserve">does not entitle a person who refers a matter to the Commission to be consulted </w:t>
      </w:r>
      <w:r w:rsidR="00AD14A5">
        <w:t xml:space="preserve">about </w:t>
      </w:r>
      <w:proofErr w:type="gramStart"/>
      <w:r w:rsidR="00AD14A5">
        <w:t>whether or not</w:t>
      </w:r>
      <w:proofErr w:type="gramEnd"/>
      <w:r w:rsidR="00AD14A5">
        <w:t xml:space="preserve"> an investigation is commenced or the conduct of the </w:t>
      </w:r>
      <w:r w:rsidR="007B73B1">
        <w:t>investigation</w:t>
      </w:r>
      <w:r w:rsidR="00AD14A5">
        <w:t>.</w:t>
      </w:r>
    </w:p>
    <w:p w14:paraId="60B6D45D" w14:textId="70128923" w:rsidR="00132A8B" w:rsidRDefault="000B5ACC" w:rsidP="00396177">
      <w:pPr>
        <w:pStyle w:val="Heading2"/>
      </w:pPr>
      <w:r w:rsidRPr="1A177052">
        <w:t>Key take</w:t>
      </w:r>
      <w:r w:rsidR="0039752D" w:rsidRPr="1A177052">
        <w:t>away</w:t>
      </w:r>
    </w:p>
    <w:p w14:paraId="431A5933" w14:textId="75C61D08" w:rsidR="000B5ACC" w:rsidRPr="000B5ACC" w:rsidRDefault="000B5ACC" w:rsidP="00132A8B">
      <w:r>
        <w:t>The Commission is required to provide procedural fairness in certain circumstances</w:t>
      </w:r>
      <w:r w:rsidR="00AD14A5">
        <w:t xml:space="preserve"> to persons who</w:t>
      </w:r>
      <w:r w:rsidR="00CD14A3">
        <w:t>se interests</w:t>
      </w:r>
      <w:r w:rsidR="00AD14A5">
        <w:t xml:space="preserve"> </w:t>
      </w:r>
      <w:r w:rsidR="00CD14A3">
        <w:t>might be adversely affected by its decision</w:t>
      </w:r>
      <w:r>
        <w:t>. This ensures that</w:t>
      </w:r>
      <w:r w:rsidR="00E91B24">
        <w:t xml:space="preserve"> decisions which affect individuals </w:t>
      </w:r>
      <w:r w:rsidR="0017696E">
        <w:t>are made with appropriate fairness</w:t>
      </w:r>
      <w:r w:rsidR="0048755F">
        <w:t>, robustness</w:t>
      </w:r>
      <w:r w:rsidR="0017696E">
        <w:t xml:space="preserve"> and </w:t>
      </w:r>
      <w:r w:rsidR="00ED4A94">
        <w:t>impartiality</w:t>
      </w:r>
      <w:r w:rsidR="0017696E">
        <w:t>, and in line with the principles of administrative law</w:t>
      </w:r>
      <w:r w:rsidR="00735AE5">
        <w:t xml:space="preserve"> </w:t>
      </w:r>
      <w:r w:rsidR="00735AE5">
        <w:t>and universal notions of natural justice</w:t>
      </w:r>
      <w:r w:rsidR="0017696E">
        <w:t>.</w:t>
      </w:r>
    </w:p>
    <w:p w14:paraId="09379A17" w14:textId="77777777" w:rsidR="00CA400A" w:rsidRDefault="00CA400A" w:rsidP="00CA400A">
      <w:pPr>
        <w:pStyle w:val="Heading2"/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</w:rPr>
      </w:pPr>
      <w:r>
        <w:rPr>
          <w:noProof/>
        </w:rPr>
        <w:t>Contact us</w:t>
      </w:r>
    </w:p>
    <w:p w14:paraId="351F2CD0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8060D6">
        <w:rPr>
          <w:noProof/>
          <w:color w:val="2F3A48" w:themeColor="accent6"/>
        </w:rPr>
        <w:t xml:space="preserve">To make a report or general enquiry please call us on </w:t>
      </w:r>
      <w:r w:rsidRPr="008060D6">
        <w:rPr>
          <w:b/>
          <w:bCs/>
          <w:noProof/>
          <w:color w:val="2F3A48" w:themeColor="accent6"/>
        </w:rPr>
        <w:t>1300 489 844</w:t>
      </w:r>
      <w:r w:rsidRPr="008060D6">
        <w:rPr>
          <w:noProof/>
          <w:color w:val="2F3A48" w:themeColor="accent6"/>
        </w:rPr>
        <w:t>.</w:t>
      </w:r>
    </w:p>
    <w:p w14:paraId="0806F3D8" w14:textId="26EBF710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8060D6">
        <w:rPr>
          <w:noProof/>
          <w:color w:val="2F3A48" w:themeColor="accent6"/>
        </w:rPr>
        <w:t xml:space="preserve">For </w:t>
      </w:r>
      <w:r w:rsidR="002F345D">
        <w:rPr>
          <w:noProof/>
          <w:color w:val="2F3A48" w:themeColor="accent6"/>
        </w:rPr>
        <w:t>asssistance with languages other than English</w:t>
      </w:r>
      <w:r w:rsidRPr="008060D6">
        <w:rPr>
          <w:noProof/>
          <w:color w:val="2F3A48" w:themeColor="accent6"/>
        </w:rPr>
        <w:t xml:space="preserve">, dial </w:t>
      </w:r>
      <w:r w:rsidRPr="008060D6">
        <w:rPr>
          <w:b/>
          <w:bCs/>
          <w:noProof/>
          <w:color w:val="2F3A48" w:themeColor="accent6"/>
        </w:rPr>
        <w:t>131 450</w:t>
      </w:r>
      <w:r w:rsidRPr="008060D6">
        <w:rPr>
          <w:noProof/>
          <w:color w:val="2F3A48" w:themeColor="accent6"/>
        </w:rPr>
        <w:t xml:space="preserve"> for the Translating and Interpreting Service.</w:t>
      </w:r>
    </w:p>
    <w:p w14:paraId="0DC55580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8060D6">
        <w:rPr>
          <w:noProof/>
          <w:color w:val="2F3A48" w:themeColor="accent6"/>
        </w:rPr>
        <w:t xml:space="preserve">For the deaf or hard of hearing, dial </w:t>
      </w:r>
      <w:r w:rsidRPr="008060D6">
        <w:rPr>
          <w:b/>
          <w:bCs/>
          <w:noProof/>
          <w:color w:val="2F3A48" w:themeColor="accent6"/>
        </w:rPr>
        <w:t>133 677</w:t>
      </w:r>
      <w:r w:rsidRPr="008060D6">
        <w:rPr>
          <w:noProof/>
          <w:color w:val="2F3A48" w:themeColor="accent6"/>
        </w:rPr>
        <w:t xml:space="preserve"> for the National Relay Service and request to connect to </w:t>
      </w:r>
      <w:r w:rsidRPr="008060D6">
        <w:rPr>
          <w:b/>
          <w:bCs/>
          <w:noProof/>
          <w:color w:val="2F3A48" w:themeColor="accent6"/>
        </w:rPr>
        <w:t>1300 489 844</w:t>
      </w:r>
      <w:r w:rsidRPr="008060D6">
        <w:rPr>
          <w:noProof/>
          <w:color w:val="2F3A48" w:themeColor="accent6"/>
        </w:rPr>
        <w:t>.</w:t>
      </w:r>
    </w:p>
    <w:p w14:paraId="666DD388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8060D6">
        <w:rPr>
          <w:noProof/>
          <w:color w:val="2F3A48" w:themeColor="accent6"/>
        </w:rPr>
        <w:t xml:space="preserve">Visit our website or complete the online reporting form at </w:t>
      </w:r>
      <w:hyperlink r:id="rId9" w:history="1">
        <w:r w:rsidRPr="00396177">
          <w:rPr>
            <w:rStyle w:val="Hyperlink"/>
          </w:rPr>
          <w:t>nacc.gov.au</w:t>
        </w:r>
      </w:hyperlink>
    </w:p>
    <w:p w14:paraId="1E5905EA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color w:val="2F3A48" w:themeColor="accent6"/>
        </w:rPr>
      </w:pPr>
      <w:r w:rsidRPr="008060D6">
        <w:rPr>
          <w:noProof/>
          <w:color w:val="2F3A48" w:themeColor="accent6"/>
        </w:rPr>
        <w:t xml:space="preserve">Write to us at </w:t>
      </w:r>
      <w:r w:rsidRPr="008060D6">
        <w:rPr>
          <w:color w:val="2F3A48" w:themeColor="accent6"/>
        </w:rPr>
        <w:t>GPO Box 605, Canberra ACT 2601</w:t>
      </w:r>
    </w:p>
    <w:p w14:paraId="58449F00" w14:textId="4571DABB" w:rsidR="006C7239" w:rsidRDefault="006C7239" w:rsidP="008B3246">
      <w:pPr>
        <w:rPr>
          <w:noProof/>
        </w:rPr>
      </w:pPr>
      <w:r>
        <w:rPr>
          <w:noProof/>
        </w:rPr>
        <w:t xml:space="preserve">Last updated: </w:t>
      </w:r>
      <w:r w:rsidR="002F345D">
        <w:rPr>
          <w:noProof/>
        </w:rPr>
        <w:t xml:space="preserve">March </w:t>
      </w:r>
      <w:r w:rsidR="008B3246">
        <w:rPr>
          <w:noProof/>
        </w:rPr>
        <w:t>2025</w:t>
      </w:r>
    </w:p>
    <w:p w14:paraId="5B94974B" w14:textId="77777777" w:rsidR="006C7239" w:rsidRDefault="006C7239" w:rsidP="006C7239">
      <w:pPr>
        <w:rPr>
          <w:noProof/>
        </w:rPr>
      </w:pPr>
      <w:r>
        <w:rPr>
          <w:noProof/>
        </w:rPr>
        <w:t>© Commonwealth of</w:t>
      </w:r>
      <w:r w:rsidR="00736E8C">
        <w:rPr>
          <w:noProof/>
        </w:rPr>
        <w:t xml:space="preserve"> </w:t>
      </w:r>
      <w:r>
        <w:rPr>
          <w:noProof/>
        </w:rPr>
        <w:t>Australia 202</w:t>
      </w:r>
      <w:r w:rsidR="008B3246">
        <w:rPr>
          <w:noProof/>
        </w:rPr>
        <w:t>5</w:t>
      </w:r>
    </w:p>
    <w:sectPr w:rsidR="006C7239" w:rsidSect="008123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16FF" w14:textId="77777777" w:rsidR="00245834" w:rsidRDefault="00245834" w:rsidP="00B4592A">
      <w:pPr>
        <w:spacing w:before="0" w:after="0" w:line="240" w:lineRule="auto"/>
      </w:pPr>
      <w:r>
        <w:separator/>
      </w:r>
    </w:p>
  </w:endnote>
  <w:endnote w:type="continuationSeparator" w:id="0">
    <w:p w14:paraId="2F91B9D2" w14:textId="77777777" w:rsidR="00245834" w:rsidRDefault="00245834" w:rsidP="00B4592A">
      <w:pPr>
        <w:spacing w:before="0" w:after="0" w:line="240" w:lineRule="auto"/>
      </w:pPr>
      <w:r>
        <w:continuationSeparator/>
      </w:r>
    </w:p>
  </w:endnote>
  <w:endnote w:type="continuationNotice" w:id="1">
    <w:p w14:paraId="05370494" w14:textId="77777777" w:rsidR="00245834" w:rsidRDefault="002458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E5E5" w14:textId="430E5EE9" w:rsidR="00B4592A" w:rsidRDefault="00112F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61" behindDoc="0" locked="0" layoutInCell="1" allowOverlap="1" wp14:anchorId="195BE6AA" wp14:editId="7A62AA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621665"/>
              <wp:effectExtent l="0" t="0" r="635" b="0"/>
              <wp:wrapNone/>
              <wp:docPr id="61010089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A1BD0" w14:textId="1029B5D6" w:rsidR="00112F8D" w:rsidRPr="00112F8D" w:rsidRDefault="00112F8D" w:rsidP="00112F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2F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BE6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43.45pt;height:48.95pt;z-index:25166746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19A1BD0" w14:textId="1029B5D6" w:rsidR="00112F8D" w:rsidRPr="00112F8D" w:rsidRDefault="00112F8D" w:rsidP="00112F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2F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0980" w14:textId="7234B3C6" w:rsidR="00396177" w:rsidRPr="003F72B5" w:rsidRDefault="00112F8D" w:rsidP="00396177">
    <w:pPr>
      <w:pStyle w:val="Footer"/>
      <w:pBdr>
        <w:top w:val="single" w:sz="4" w:space="8" w:color="54C6D3" w:themeColor="accent1"/>
      </w:pBdr>
      <w:tabs>
        <w:tab w:val="clear" w:pos="4513"/>
      </w:tabs>
      <w:contextualSpacing/>
      <w:rPr>
        <w:b/>
        <w:bCs/>
        <w:noProof/>
        <w:color w:val="2787D5" w:themeColor="text1" w:themeTint="BF"/>
      </w:rPr>
    </w:pPr>
    <w:r>
      <w:rPr>
        <w:noProof/>
      </w:rPr>
      <mc:AlternateContent>
        <mc:Choice Requires="wps">
          <w:drawing>
            <wp:anchor distT="0" distB="0" distL="0" distR="0" simplePos="0" relativeHeight="251668485" behindDoc="0" locked="0" layoutInCell="1" allowOverlap="1" wp14:anchorId="6AE1A39F" wp14:editId="460F12F2">
              <wp:simplePos x="914400" y="9804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621665"/>
              <wp:effectExtent l="0" t="0" r="635" b="0"/>
              <wp:wrapNone/>
              <wp:docPr id="213341656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8AD48" w14:textId="52DC513D" w:rsidR="00112F8D" w:rsidRPr="00112F8D" w:rsidRDefault="00112F8D" w:rsidP="00112F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2F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1A3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43.45pt;height:48.95pt;z-index:25166848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7B8AD48" w14:textId="52DC513D" w:rsidR="00112F8D" w:rsidRPr="00112F8D" w:rsidRDefault="00112F8D" w:rsidP="00112F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2F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6177" w:rsidRPr="00396177">
      <w:fldChar w:fldCharType="begin"/>
    </w:r>
    <w:r w:rsidR="00396177" w:rsidRPr="00396177">
      <w:instrText xml:space="preserve"> PAGE   \* MERGEFORMAT </w:instrText>
    </w:r>
    <w:r w:rsidR="00396177" w:rsidRPr="00396177">
      <w:fldChar w:fldCharType="separate"/>
    </w:r>
    <w:r w:rsidR="00396177">
      <w:t>1</w:t>
    </w:r>
    <w:r w:rsidR="00396177" w:rsidRPr="00396177">
      <w:fldChar w:fldCharType="end"/>
    </w:r>
    <w:r w:rsidR="00396177" w:rsidRPr="0001178B">
      <w:rPr>
        <w:noProof/>
      </w:rPr>
      <w:tab/>
    </w:r>
    <w:r w:rsidR="00396177" w:rsidRPr="00396177">
      <w:t>Procedural fairness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30FC" w14:textId="3D1898FA" w:rsidR="00B4592A" w:rsidRPr="003F72B5" w:rsidRDefault="00112F8D" w:rsidP="1A177052">
    <w:pPr>
      <w:pStyle w:val="Footer"/>
      <w:pBdr>
        <w:top w:val="single" w:sz="4" w:space="8" w:color="54C6D3" w:themeColor="accent1"/>
      </w:pBdr>
      <w:tabs>
        <w:tab w:val="clear" w:pos="4513"/>
      </w:tabs>
      <w:contextualSpacing/>
      <w:rPr>
        <w:b/>
        <w:bCs/>
        <w:noProof/>
        <w:color w:val="2787D5" w:themeColor="text1" w:themeTint="BF"/>
      </w:rPr>
    </w:pPr>
    <w:r>
      <w:rPr>
        <w:noProof/>
      </w:rPr>
      <mc:AlternateContent>
        <mc:Choice Requires="wps">
          <w:drawing>
            <wp:anchor distT="0" distB="0" distL="0" distR="0" simplePos="0" relativeHeight="251666437" behindDoc="0" locked="0" layoutInCell="1" allowOverlap="1" wp14:anchorId="73B18F66" wp14:editId="2A500A4A">
              <wp:simplePos x="914400" y="9804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621665"/>
              <wp:effectExtent l="0" t="0" r="635" b="0"/>
              <wp:wrapNone/>
              <wp:docPr id="71765496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5D8BA" w14:textId="0388213B" w:rsidR="00112F8D" w:rsidRPr="00112F8D" w:rsidRDefault="00112F8D" w:rsidP="00112F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2F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18F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43.45pt;height:48.95pt;z-index:2516664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5F5D8BA" w14:textId="0388213B" w:rsidR="00112F8D" w:rsidRPr="00112F8D" w:rsidRDefault="00112F8D" w:rsidP="00112F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2F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72B5" w:rsidRPr="00396177">
      <w:fldChar w:fldCharType="begin"/>
    </w:r>
    <w:r w:rsidR="003F72B5" w:rsidRPr="00396177">
      <w:instrText xml:space="preserve"> PAGE   \* MERGEFORMAT </w:instrText>
    </w:r>
    <w:r w:rsidR="003F72B5" w:rsidRPr="00396177">
      <w:fldChar w:fldCharType="separate"/>
    </w:r>
    <w:r w:rsidR="1A177052" w:rsidRPr="00396177">
      <w:t>2</w:t>
    </w:r>
    <w:r w:rsidR="003F72B5" w:rsidRPr="00396177">
      <w:fldChar w:fldCharType="end"/>
    </w:r>
    <w:r w:rsidR="003F72B5" w:rsidRPr="0001178B">
      <w:rPr>
        <w:noProof/>
      </w:rPr>
      <w:tab/>
    </w:r>
    <w:r w:rsidR="1A177052" w:rsidRPr="00396177">
      <w:t xml:space="preserve">Procedural </w:t>
    </w:r>
    <w:r w:rsidR="00394606" w:rsidRPr="00396177">
      <w:t>f</w:t>
    </w:r>
    <w:r w:rsidR="1A177052" w:rsidRPr="00396177">
      <w:t>airness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E162" w14:textId="77777777" w:rsidR="00245834" w:rsidRDefault="00245834" w:rsidP="00B4592A">
      <w:pPr>
        <w:spacing w:before="0" w:after="0" w:line="240" w:lineRule="auto"/>
      </w:pPr>
      <w:r>
        <w:separator/>
      </w:r>
    </w:p>
  </w:footnote>
  <w:footnote w:type="continuationSeparator" w:id="0">
    <w:p w14:paraId="3D959755" w14:textId="77777777" w:rsidR="00245834" w:rsidRDefault="00245834" w:rsidP="00B4592A">
      <w:pPr>
        <w:spacing w:before="0" w:after="0" w:line="240" w:lineRule="auto"/>
      </w:pPr>
      <w:r>
        <w:continuationSeparator/>
      </w:r>
    </w:p>
  </w:footnote>
  <w:footnote w:type="continuationNotice" w:id="1">
    <w:p w14:paraId="32088424" w14:textId="77777777" w:rsidR="00245834" w:rsidRDefault="00245834">
      <w:pPr>
        <w:spacing w:before="0" w:after="0" w:line="240" w:lineRule="auto"/>
      </w:pPr>
    </w:p>
  </w:footnote>
  <w:footnote w:id="2">
    <w:p w14:paraId="77670EAF" w14:textId="0E9749B0" w:rsidR="00465996" w:rsidRDefault="00465996">
      <w:pPr>
        <w:pStyle w:val="FootnoteText"/>
      </w:pPr>
      <w:r>
        <w:rPr>
          <w:rStyle w:val="FootnoteReference"/>
        </w:rPr>
        <w:footnoteRef/>
      </w:r>
      <w:r>
        <w:t xml:space="preserve"> Section 153 NACC Act</w:t>
      </w:r>
    </w:p>
  </w:footnote>
  <w:footnote w:id="3">
    <w:p w14:paraId="46A2EB1C" w14:textId="77777777" w:rsidR="205644A3" w:rsidRDefault="205644A3" w:rsidP="205644A3">
      <w:pPr>
        <w:pStyle w:val="FootnoteText"/>
      </w:pPr>
      <w:r w:rsidRPr="205644A3">
        <w:rPr>
          <w:rStyle w:val="FootnoteReference"/>
        </w:rPr>
        <w:footnoteRef/>
      </w:r>
      <w:r>
        <w:t xml:space="preserve"> Section 231 NACC Act</w:t>
      </w:r>
    </w:p>
  </w:footnote>
  <w:footnote w:id="4">
    <w:p w14:paraId="55D8D5C9" w14:textId="77777777" w:rsidR="004B3669" w:rsidRDefault="004B3669" w:rsidP="004B3669">
      <w:pPr>
        <w:pStyle w:val="FootnoteText"/>
      </w:pPr>
      <w:r>
        <w:rPr>
          <w:rStyle w:val="FootnoteReference"/>
        </w:rPr>
        <w:footnoteRef/>
      </w:r>
      <w:r>
        <w:t xml:space="preserve"> Section 53 NACC Act</w:t>
      </w:r>
    </w:p>
  </w:footnote>
  <w:footnote w:id="5">
    <w:p w14:paraId="60F62477" w14:textId="43B7A1CE" w:rsidR="000D103D" w:rsidRDefault="000D103D">
      <w:pPr>
        <w:pStyle w:val="FootnoteText"/>
      </w:pPr>
      <w:r>
        <w:rPr>
          <w:rStyle w:val="FootnoteReference"/>
        </w:rPr>
        <w:footnoteRef/>
      </w:r>
      <w:r>
        <w:t xml:space="preserve"> Section 153 NACC Act</w:t>
      </w:r>
    </w:p>
  </w:footnote>
  <w:footnote w:id="6">
    <w:p w14:paraId="4CE4DCCE" w14:textId="22D5BBAF" w:rsidR="001D5B81" w:rsidRDefault="001D5B81">
      <w:pPr>
        <w:pStyle w:val="FootnoteText"/>
      </w:pPr>
      <w:r>
        <w:rPr>
          <w:rStyle w:val="FootnoteReference"/>
        </w:rPr>
        <w:footnoteRef/>
      </w:r>
      <w:r>
        <w:t xml:space="preserve"> Section 157 NACC Act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E704" w14:textId="6F9FA3A2" w:rsidR="00B4592A" w:rsidRDefault="00112F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9" behindDoc="0" locked="0" layoutInCell="1" allowOverlap="1" wp14:anchorId="5A556A7F" wp14:editId="417185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621665"/>
              <wp:effectExtent l="0" t="0" r="635" b="6985"/>
              <wp:wrapNone/>
              <wp:docPr id="19463505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2A625" w14:textId="719CB0BB" w:rsidR="00112F8D" w:rsidRPr="00112F8D" w:rsidRDefault="00112F8D" w:rsidP="00112F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2F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56A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8.95pt;z-index:2516643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5B2A625" w14:textId="719CB0BB" w:rsidR="00112F8D" w:rsidRPr="00112F8D" w:rsidRDefault="00112F8D" w:rsidP="00112F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2F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62BE" w14:textId="688DBF94" w:rsidR="00B4592A" w:rsidRDefault="00112F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13" behindDoc="0" locked="0" layoutInCell="1" allowOverlap="1" wp14:anchorId="20FB76AC" wp14:editId="2954E2D9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621665"/>
              <wp:effectExtent l="0" t="0" r="635" b="6985"/>
              <wp:wrapNone/>
              <wp:docPr id="128476314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D47F8" w14:textId="1B1ED947" w:rsidR="00112F8D" w:rsidRPr="00112F8D" w:rsidRDefault="00112F8D" w:rsidP="00112F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2F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B76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8.95pt;z-index:2516654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3DD47F8" w14:textId="1B1ED947" w:rsidR="00112F8D" w:rsidRPr="00112F8D" w:rsidRDefault="00112F8D" w:rsidP="00112F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2F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7385" w14:textId="5AA4DAE5" w:rsidR="00B4592A" w:rsidRDefault="00112F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5" behindDoc="0" locked="0" layoutInCell="1" allowOverlap="1" wp14:anchorId="016E620E" wp14:editId="6F3B115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621665"/>
              <wp:effectExtent l="0" t="0" r="635" b="6985"/>
              <wp:wrapNone/>
              <wp:docPr id="4210802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036D4" w14:textId="009455D8" w:rsidR="00112F8D" w:rsidRPr="00112F8D" w:rsidRDefault="00112F8D" w:rsidP="00112F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2F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E62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48.95pt;z-index:2516633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D9036D4" w14:textId="009455D8" w:rsidR="00112F8D" w:rsidRPr="00112F8D" w:rsidRDefault="00112F8D" w:rsidP="00112F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2F8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6177">
      <w:rPr>
        <w:noProof/>
      </w:rPr>
      <w:drawing>
        <wp:anchor distT="0" distB="0" distL="114300" distR="114300" simplePos="0" relativeHeight="251660293" behindDoc="1" locked="0" layoutInCell="1" allowOverlap="1" wp14:anchorId="320BEEFD" wp14:editId="6E32AA92">
          <wp:simplePos x="0" y="0"/>
          <wp:positionH relativeFrom="page">
            <wp:align>right</wp:align>
          </wp:positionH>
          <wp:positionV relativeFrom="page">
            <wp:posOffset>-1178560</wp:posOffset>
          </wp:positionV>
          <wp:extent cx="7909198" cy="10994701"/>
          <wp:effectExtent l="0" t="0" r="0" b="0"/>
          <wp:wrapNone/>
          <wp:docPr id="1045443652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063964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xmlns:arto="http://schemas.microsoft.com/office/word/2006/arto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198" cy="10994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8C560" w14:textId="1F8DA76E" w:rsidR="1A177052" w:rsidRDefault="1A177052" w:rsidP="1A177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FF8"/>
    <w:multiLevelType w:val="hybridMultilevel"/>
    <w:tmpl w:val="028295FA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975"/>
    <w:multiLevelType w:val="hybridMultilevel"/>
    <w:tmpl w:val="3AC6516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95D"/>
    <w:multiLevelType w:val="hybridMultilevel"/>
    <w:tmpl w:val="BD2CC6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02BA4"/>
    <w:multiLevelType w:val="hybridMultilevel"/>
    <w:tmpl w:val="C4929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689"/>
    <w:multiLevelType w:val="hybridMultilevel"/>
    <w:tmpl w:val="4420DDE2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7AB3"/>
    <w:multiLevelType w:val="hybridMultilevel"/>
    <w:tmpl w:val="EFF89098"/>
    <w:lvl w:ilvl="0" w:tplc="5C9404FA">
      <w:numFmt w:val="bullet"/>
      <w:lvlText w:val="-"/>
      <w:lvlJc w:val="left"/>
      <w:pPr>
        <w:ind w:left="800" w:hanging="360"/>
      </w:pPr>
      <w:rPr>
        <w:rFonts w:ascii="Work Sans" w:eastAsiaTheme="minorHAnsi" w:hAnsi="Work San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2E96BF3"/>
    <w:multiLevelType w:val="hybridMultilevel"/>
    <w:tmpl w:val="2EF0382A"/>
    <w:lvl w:ilvl="0" w:tplc="5C9404FA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0578"/>
    <w:multiLevelType w:val="hybridMultilevel"/>
    <w:tmpl w:val="D4404B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625B4"/>
    <w:multiLevelType w:val="hybridMultilevel"/>
    <w:tmpl w:val="35986916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D5087"/>
    <w:multiLevelType w:val="hybridMultilevel"/>
    <w:tmpl w:val="37447BCA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20563"/>
    <w:multiLevelType w:val="hybridMultilevel"/>
    <w:tmpl w:val="C9DCA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3484C"/>
    <w:multiLevelType w:val="hybridMultilevel"/>
    <w:tmpl w:val="BD0E3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56203"/>
    <w:multiLevelType w:val="hybridMultilevel"/>
    <w:tmpl w:val="C7B61234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5019"/>
    <w:multiLevelType w:val="hybridMultilevel"/>
    <w:tmpl w:val="99888BD0"/>
    <w:lvl w:ilvl="0" w:tplc="BE3A4FB8">
      <w:numFmt w:val="bullet"/>
      <w:lvlText w:val="–"/>
      <w:lvlJc w:val="left"/>
      <w:pPr>
        <w:ind w:left="720" w:hanging="360"/>
      </w:pPr>
      <w:rPr>
        <w:rFonts w:ascii="Work Sans" w:eastAsiaTheme="minorHAnsi" w:hAnsi="Work San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4367E"/>
    <w:multiLevelType w:val="hybridMultilevel"/>
    <w:tmpl w:val="FFFFFFFF"/>
    <w:lvl w:ilvl="0" w:tplc="C63A4478">
      <w:start w:val="1"/>
      <w:numFmt w:val="decimal"/>
      <w:lvlText w:val="%1."/>
      <w:lvlJc w:val="left"/>
      <w:pPr>
        <w:ind w:left="720" w:hanging="360"/>
      </w:pPr>
    </w:lvl>
    <w:lvl w:ilvl="1" w:tplc="44E809CE">
      <w:start w:val="1"/>
      <w:numFmt w:val="lowerLetter"/>
      <w:lvlText w:val="%2."/>
      <w:lvlJc w:val="left"/>
      <w:pPr>
        <w:ind w:left="1440" w:hanging="360"/>
      </w:pPr>
    </w:lvl>
    <w:lvl w:ilvl="2" w:tplc="91A84A9A">
      <w:start w:val="1"/>
      <w:numFmt w:val="lowerRoman"/>
      <w:lvlText w:val="%3."/>
      <w:lvlJc w:val="right"/>
      <w:pPr>
        <w:ind w:left="2160" w:hanging="180"/>
      </w:pPr>
    </w:lvl>
    <w:lvl w:ilvl="3" w:tplc="8244F338">
      <w:start w:val="1"/>
      <w:numFmt w:val="decimal"/>
      <w:lvlText w:val="%4."/>
      <w:lvlJc w:val="left"/>
      <w:pPr>
        <w:ind w:left="2880" w:hanging="360"/>
      </w:pPr>
    </w:lvl>
    <w:lvl w:ilvl="4" w:tplc="31F61C14">
      <w:start w:val="1"/>
      <w:numFmt w:val="lowerLetter"/>
      <w:lvlText w:val="%5."/>
      <w:lvlJc w:val="left"/>
      <w:pPr>
        <w:ind w:left="3600" w:hanging="360"/>
      </w:pPr>
    </w:lvl>
    <w:lvl w:ilvl="5" w:tplc="77987348">
      <w:start w:val="1"/>
      <w:numFmt w:val="lowerRoman"/>
      <w:lvlText w:val="%6."/>
      <w:lvlJc w:val="right"/>
      <w:pPr>
        <w:ind w:left="4320" w:hanging="180"/>
      </w:pPr>
    </w:lvl>
    <w:lvl w:ilvl="6" w:tplc="EA240F98">
      <w:start w:val="1"/>
      <w:numFmt w:val="decimal"/>
      <w:lvlText w:val="%7."/>
      <w:lvlJc w:val="left"/>
      <w:pPr>
        <w:ind w:left="5040" w:hanging="360"/>
      </w:pPr>
    </w:lvl>
    <w:lvl w:ilvl="7" w:tplc="B1220AFA">
      <w:start w:val="1"/>
      <w:numFmt w:val="lowerLetter"/>
      <w:lvlText w:val="%8."/>
      <w:lvlJc w:val="left"/>
      <w:pPr>
        <w:ind w:left="5760" w:hanging="360"/>
      </w:pPr>
    </w:lvl>
    <w:lvl w:ilvl="8" w:tplc="61DCC9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46AC5"/>
    <w:multiLevelType w:val="hybridMultilevel"/>
    <w:tmpl w:val="91CA91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E2CE2"/>
    <w:multiLevelType w:val="hybridMultilevel"/>
    <w:tmpl w:val="277289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9B1659"/>
    <w:multiLevelType w:val="hybridMultilevel"/>
    <w:tmpl w:val="513CC892"/>
    <w:lvl w:ilvl="0" w:tplc="34A8A1F4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245F"/>
    <w:multiLevelType w:val="hybridMultilevel"/>
    <w:tmpl w:val="6CBA7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D6155D"/>
    <w:multiLevelType w:val="hybridMultilevel"/>
    <w:tmpl w:val="79D2FA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71BB0"/>
    <w:multiLevelType w:val="hybridMultilevel"/>
    <w:tmpl w:val="CC04343A"/>
    <w:lvl w:ilvl="0" w:tplc="5C9404FA"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C5813"/>
    <w:multiLevelType w:val="hybridMultilevel"/>
    <w:tmpl w:val="054ED6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21752">
    <w:abstractNumId w:val="14"/>
  </w:num>
  <w:num w:numId="2" w16cid:durableId="1382827203">
    <w:abstractNumId w:val="8"/>
  </w:num>
  <w:num w:numId="3" w16cid:durableId="213200148">
    <w:abstractNumId w:val="2"/>
  </w:num>
  <w:num w:numId="4" w16cid:durableId="876158351">
    <w:abstractNumId w:val="7"/>
  </w:num>
  <w:num w:numId="5" w16cid:durableId="2036998010">
    <w:abstractNumId w:val="12"/>
  </w:num>
  <w:num w:numId="6" w16cid:durableId="2104447144">
    <w:abstractNumId w:val="4"/>
  </w:num>
  <w:num w:numId="7" w16cid:durableId="1409309371">
    <w:abstractNumId w:val="0"/>
  </w:num>
  <w:num w:numId="8" w16cid:durableId="794563145">
    <w:abstractNumId w:val="9"/>
  </w:num>
  <w:num w:numId="9" w16cid:durableId="1064454643">
    <w:abstractNumId w:val="10"/>
  </w:num>
  <w:num w:numId="10" w16cid:durableId="1276672951">
    <w:abstractNumId w:val="16"/>
  </w:num>
  <w:num w:numId="11" w16cid:durableId="694965803">
    <w:abstractNumId w:val="18"/>
  </w:num>
  <w:num w:numId="12" w16cid:durableId="565602909">
    <w:abstractNumId w:val="15"/>
  </w:num>
  <w:num w:numId="13" w16cid:durableId="162665053">
    <w:abstractNumId w:val="11"/>
  </w:num>
  <w:num w:numId="14" w16cid:durableId="972831914">
    <w:abstractNumId w:val="19"/>
  </w:num>
  <w:num w:numId="15" w16cid:durableId="1700618068">
    <w:abstractNumId w:val="17"/>
  </w:num>
  <w:num w:numId="16" w16cid:durableId="2078746680">
    <w:abstractNumId w:val="6"/>
  </w:num>
  <w:num w:numId="17" w16cid:durableId="988364226">
    <w:abstractNumId w:val="21"/>
  </w:num>
  <w:num w:numId="18" w16cid:durableId="1927959564">
    <w:abstractNumId w:val="3"/>
  </w:num>
  <w:num w:numId="19" w16cid:durableId="480393942">
    <w:abstractNumId w:val="13"/>
  </w:num>
  <w:num w:numId="20" w16cid:durableId="1253397339">
    <w:abstractNumId w:val="5"/>
  </w:num>
  <w:num w:numId="21" w16cid:durableId="639069340">
    <w:abstractNumId w:val="20"/>
  </w:num>
  <w:num w:numId="22" w16cid:durableId="189936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C5"/>
    <w:rsid w:val="0001178B"/>
    <w:rsid w:val="00011FF4"/>
    <w:rsid w:val="000155EA"/>
    <w:rsid w:val="000157BD"/>
    <w:rsid w:val="000214A9"/>
    <w:rsid w:val="00034B80"/>
    <w:rsid w:val="00051345"/>
    <w:rsid w:val="00067888"/>
    <w:rsid w:val="00077DA9"/>
    <w:rsid w:val="00077EE9"/>
    <w:rsid w:val="00080994"/>
    <w:rsid w:val="00081E75"/>
    <w:rsid w:val="00084459"/>
    <w:rsid w:val="000853DA"/>
    <w:rsid w:val="000A568A"/>
    <w:rsid w:val="000B5ACC"/>
    <w:rsid w:val="000B6127"/>
    <w:rsid w:val="000C56B3"/>
    <w:rsid w:val="000D103D"/>
    <w:rsid w:val="000D2F49"/>
    <w:rsid w:val="000E08E6"/>
    <w:rsid w:val="000E2A28"/>
    <w:rsid w:val="000F17C9"/>
    <w:rsid w:val="000F22CF"/>
    <w:rsid w:val="000F564E"/>
    <w:rsid w:val="001054BA"/>
    <w:rsid w:val="00112886"/>
    <w:rsid w:val="00112F8D"/>
    <w:rsid w:val="001204F4"/>
    <w:rsid w:val="00132A8B"/>
    <w:rsid w:val="00137B68"/>
    <w:rsid w:val="00147620"/>
    <w:rsid w:val="001541EC"/>
    <w:rsid w:val="00155C08"/>
    <w:rsid w:val="00171AEB"/>
    <w:rsid w:val="00171EC4"/>
    <w:rsid w:val="0017696E"/>
    <w:rsid w:val="00192704"/>
    <w:rsid w:val="001A44B8"/>
    <w:rsid w:val="001A55F4"/>
    <w:rsid w:val="001B18CF"/>
    <w:rsid w:val="001C6909"/>
    <w:rsid w:val="001D1C62"/>
    <w:rsid w:val="001D5B81"/>
    <w:rsid w:val="001E1287"/>
    <w:rsid w:val="001E7CDA"/>
    <w:rsid w:val="001F0664"/>
    <w:rsid w:val="001F6D5D"/>
    <w:rsid w:val="00212F7D"/>
    <w:rsid w:val="00215D6C"/>
    <w:rsid w:val="00216255"/>
    <w:rsid w:val="00217A4F"/>
    <w:rsid w:val="00221C3B"/>
    <w:rsid w:val="002223B4"/>
    <w:rsid w:val="00222F68"/>
    <w:rsid w:val="00226B6F"/>
    <w:rsid w:val="00226D97"/>
    <w:rsid w:val="00241767"/>
    <w:rsid w:val="00245834"/>
    <w:rsid w:val="00262572"/>
    <w:rsid w:val="002638EF"/>
    <w:rsid w:val="002763C5"/>
    <w:rsid w:val="002779C8"/>
    <w:rsid w:val="00283CC9"/>
    <w:rsid w:val="00292F6D"/>
    <w:rsid w:val="00294FF4"/>
    <w:rsid w:val="002957BC"/>
    <w:rsid w:val="002B7D00"/>
    <w:rsid w:val="002B7E60"/>
    <w:rsid w:val="002C16CD"/>
    <w:rsid w:val="002C54E9"/>
    <w:rsid w:val="002C7702"/>
    <w:rsid w:val="002F345D"/>
    <w:rsid w:val="003005B1"/>
    <w:rsid w:val="003049EA"/>
    <w:rsid w:val="00305F9B"/>
    <w:rsid w:val="00321C05"/>
    <w:rsid w:val="00325AA1"/>
    <w:rsid w:val="00332BC3"/>
    <w:rsid w:val="00333360"/>
    <w:rsid w:val="00340E24"/>
    <w:rsid w:val="00342081"/>
    <w:rsid w:val="00352914"/>
    <w:rsid w:val="003556EB"/>
    <w:rsid w:val="0036502F"/>
    <w:rsid w:val="00372496"/>
    <w:rsid w:val="00375CB3"/>
    <w:rsid w:val="00381E6B"/>
    <w:rsid w:val="00383B7F"/>
    <w:rsid w:val="00394606"/>
    <w:rsid w:val="00395CE6"/>
    <w:rsid w:val="00396177"/>
    <w:rsid w:val="0039752D"/>
    <w:rsid w:val="003A058E"/>
    <w:rsid w:val="003A0D4D"/>
    <w:rsid w:val="003D2DF8"/>
    <w:rsid w:val="003D4246"/>
    <w:rsid w:val="003D4863"/>
    <w:rsid w:val="003E7A99"/>
    <w:rsid w:val="003F72B5"/>
    <w:rsid w:val="00400AD1"/>
    <w:rsid w:val="0040101D"/>
    <w:rsid w:val="00405024"/>
    <w:rsid w:val="00405C51"/>
    <w:rsid w:val="0041052B"/>
    <w:rsid w:val="0041116D"/>
    <w:rsid w:val="004158E3"/>
    <w:rsid w:val="00415EB4"/>
    <w:rsid w:val="00417B6B"/>
    <w:rsid w:val="0042393A"/>
    <w:rsid w:val="0042617C"/>
    <w:rsid w:val="00434639"/>
    <w:rsid w:val="00450431"/>
    <w:rsid w:val="00465996"/>
    <w:rsid w:val="004746F1"/>
    <w:rsid w:val="00480D40"/>
    <w:rsid w:val="0048755F"/>
    <w:rsid w:val="004A0D4A"/>
    <w:rsid w:val="004A3229"/>
    <w:rsid w:val="004B26D4"/>
    <w:rsid w:val="004B3669"/>
    <w:rsid w:val="004C2D85"/>
    <w:rsid w:val="004C4C1D"/>
    <w:rsid w:val="004C7433"/>
    <w:rsid w:val="004D6368"/>
    <w:rsid w:val="004D7A27"/>
    <w:rsid w:val="005026E9"/>
    <w:rsid w:val="00502C64"/>
    <w:rsid w:val="00527DEF"/>
    <w:rsid w:val="00533104"/>
    <w:rsid w:val="005467D3"/>
    <w:rsid w:val="005504EE"/>
    <w:rsid w:val="005536C7"/>
    <w:rsid w:val="00555DF0"/>
    <w:rsid w:val="00561033"/>
    <w:rsid w:val="005657F4"/>
    <w:rsid w:val="00567C61"/>
    <w:rsid w:val="00580791"/>
    <w:rsid w:val="00583DD9"/>
    <w:rsid w:val="00590AE2"/>
    <w:rsid w:val="00595A3E"/>
    <w:rsid w:val="005968E4"/>
    <w:rsid w:val="005A7AEF"/>
    <w:rsid w:val="005B32B9"/>
    <w:rsid w:val="005C739A"/>
    <w:rsid w:val="005E6C76"/>
    <w:rsid w:val="005F0382"/>
    <w:rsid w:val="005F4104"/>
    <w:rsid w:val="005F5279"/>
    <w:rsid w:val="00604811"/>
    <w:rsid w:val="00615423"/>
    <w:rsid w:val="00616FED"/>
    <w:rsid w:val="006177AC"/>
    <w:rsid w:val="006241C0"/>
    <w:rsid w:val="00632CD1"/>
    <w:rsid w:val="00661066"/>
    <w:rsid w:val="0066324C"/>
    <w:rsid w:val="00664AA4"/>
    <w:rsid w:val="00673EB0"/>
    <w:rsid w:val="006748C5"/>
    <w:rsid w:val="0069678F"/>
    <w:rsid w:val="006A26BC"/>
    <w:rsid w:val="006B7EE1"/>
    <w:rsid w:val="006C31F0"/>
    <w:rsid w:val="006C7239"/>
    <w:rsid w:val="006E2294"/>
    <w:rsid w:val="006F7F82"/>
    <w:rsid w:val="00711CF9"/>
    <w:rsid w:val="0071581A"/>
    <w:rsid w:val="00721B87"/>
    <w:rsid w:val="00723691"/>
    <w:rsid w:val="00735AE5"/>
    <w:rsid w:val="00736E8C"/>
    <w:rsid w:val="00750897"/>
    <w:rsid w:val="007719A6"/>
    <w:rsid w:val="00783203"/>
    <w:rsid w:val="007A1C2A"/>
    <w:rsid w:val="007A56B0"/>
    <w:rsid w:val="007B6BF6"/>
    <w:rsid w:val="007B73B1"/>
    <w:rsid w:val="007C2B50"/>
    <w:rsid w:val="007C5E86"/>
    <w:rsid w:val="007C7BCD"/>
    <w:rsid w:val="007E4A26"/>
    <w:rsid w:val="007F18EF"/>
    <w:rsid w:val="007F3F37"/>
    <w:rsid w:val="007F4D22"/>
    <w:rsid w:val="0080647C"/>
    <w:rsid w:val="00812350"/>
    <w:rsid w:val="00824FB8"/>
    <w:rsid w:val="00827401"/>
    <w:rsid w:val="008304EA"/>
    <w:rsid w:val="008724F0"/>
    <w:rsid w:val="0087341E"/>
    <w:rsid w:val="008836AE"/>
    <w:rsid w:val="00887067"/>
    <w:rsid w:val="00891877"/>
    <w:rsid w:val="00895876"/>
    <w:rsid w:val="00897359"/>
    <w:rsid w:val="008978EE"/>
    <w:rsid w:val="008A25FF"/>
    <w:rsid w:val="008B3246"/>
    <w:rsid w:val="008D1036"/>
    <w:rsid w:val="008D3E2A"/>
    <w:rsid w:val="008D5766"/>
    <w:rsid w:val="008D6894"/>
    <w:rsid w:val="008E1F0B"/>
    <w:rsid w:val="00920ED9"/>
    <w:rsid w:val="009210C5"/>
    <w:rsid w:val="009230A2"/>
    <w:rsid w:val="00943E7A"/>
    <w:rsid w:val="00962F8B"/>
    <w:rsid w:val="009709BD"/>
    <w:rsid w:val="00975175"/>
    <w:rsid w:val="00976046"/>
    <w:rsid w:val="00984927"/>
    <w:rsid w:val="00992503"/>
    <w:rsid w:val="009A0A48"/>
    <w:rsid w:val="009A2294"/>
    <w:rsid w:val="009C03EC"/>
    <w:rsid w:val="009C18A9"/>
    <w:rsid w:val="00A00B69"/>
    <w:rsid w:val="00A13087"/>
    <w:rsid w:val="00A24D83"/>
    <w:rsid w:val="00A31EF6"/>
    <w:rsid w:val="00A469A5"/>
    <w:rsid w:val="00A47CCB"/>
    <w:rsid w:val="00A509EF"/>
    <w:rsid w:val="00A51E8B"/>
    <w:rsid w:val="00A54D5B"/>
    <w:rsid w:val="00A55613"/>
    <w:rsid w:val="00A63257"/>
    <w:rsid w:val="00A73E58"/>
    <w:rsid w:val="00A74216"/>
    <w:rsid w:val="00A80B8C"/>
    <w:rsid w:val="00A80BBC"/>
    <w:rsid w:val="00A83337"/>
    <w:rsid w:val="00A84F87"/>
    <w:rsid w:val="00A8514B"/>
    <w:rsid w:val="00A906B1"/>
    <w:rsid w:val="00AA13CE"/>
    <w:rsid w:val="00AA2BB2"/>
    <w:rsid w:val="00AA6D18"/>
    <w:rsid w:val="00AA6E68"/>
    <w:rsid w:val="00AB6E19"/>
    <w:rsid w:val="00AC0A54"/>
    <w:rsid w:val="00AD01B0"/>
    <w:rsid w:val="00AD14A5"/>
    <w:rsid w:val="00AE6557"/>
    <w:rsid w:val="00AF5EA4"/>
    <w:rsid w:val="00B00CD2"/>
    <w:rsid w:val="00B01FAC"/>
    <w:rsid w:val="00B1681E"/>
    <w:rsid w:val="00B4532D"/>
    <w:rsid w:val="00B4592A"/>
    <w:rsid w:val="00B55AB5"/>
    <w:rsid w:val="00B602E3"/>
    <w:rsid w:val="00B6773F"/>
    <w:rsid w:val="00B71739"/>
    <w:rsid w:val="00B807D8"/>
    <w:rsid w:val="00B9272D"/>
    <w:rsid w:val="00B943BA"/>
    <w:rsid w:val="00B943CE"/>
    <w:rsid w:val="00B96EE8"/>
    <w:rsid w:val="00BB1E47"/>
    <w:rsid w:val="00BD0E54"/>
    <w:rsid w:val="00BD2C06"/>
    <w:rsid w:val="00C04296"/>
    <w:rsid w:val="00C253E6"/>
    <w:rsid w:val="00C32CD6"/>
    <w:rsid w:val="00C37639"/>
    <w:rsid w:val="00C407E1"/>
    <w:rsid w:val="00C45038"/>
    <w:rsid w:val="00C56E0F"/>
    <w:rsid w:val="00C643BA"/>
    <w:rsid w:val="00C64CB8"/>
    <w:rsid w:val="00C747D8"/>
    <w:rsid w:val="00C80649"/>
    <w:rsid w:val="00C87121"/>
    <w:rsid w:val="00CA400A"/>
    <w:rsid w:val="00CC7A3B"/>
    <w:rsid w:val="00CC7B37"/>
    <w:rsid w:val="00CD082F"/>
    <w:rsid w:val="00CD14A3"/>
    <w:rsid w:val="00CD4C3E"/>
    <w:rsid w:val="00CE4A25"/>
    <w:rsid w:val="00CE55C2"/>
    <w:rsid w:val="00CE7737"/>
    <w:rsid w:val="00CF1008"/>
    <w:rsid w:val="00CF1D6C"/>
    <w:rsid w:val="00CF5332"/>
    <w:rsid w:val="00CF5A2D"/>
    <w:rsid w:val="00CF6943"/>
    <w:rsid w:val="00CF7F32"/>
    <w:rsid w:val="00D17DE3"/>
    <w:rsid w:val="00D32CDB"/>
    <w:rsid w:val="00D33FA1"/>
    <w:rsid w:val="00D36017"/>
    <w:rsid w:val="00D44634"/>
    <w:rsid w:val="00D515C2"/>
    <w:rsid w:val="00D564F2"/>
    <w:rsid w:val="00D56AF5"/>
    <w:rsid w:val="00D6555D"/>
    <w:rsid w:val="00D77D55"/>
    <w:rsid w:val="00D803FC"/>
    <w:rsid w:val="00D80A17"/>
    <w:rsid w:val="00D876BC"/>
    <w:rsid w:val="00D909DA"/>
    <w:rsid w:val="00DB1046"/>
    <w:rsid w:val="00DB483E"/>
    <w:rsid w:val="00DB4B48"/>
    <w:rsid w:val="00DC6A69"/>
    <w:rsid w:val="00DF1729"/>
    <w:rsid w:val="00E0005D"/>
    <w:rsid w:val="00E2372D"/>
    <w:rsid w:val="00E34FCB"/>
    <w:rsid w:val="00E40504"/>
    <w:rsid w:val="00E40BB8"/>
    <w:rsid w:val="00E429DC"/>
    <w:rsid w:val="00E51A08"/>
    <w:rsid w:val="00E53777"/>
    <w:rsid w:val="00E64656"/>
    <w:rsid w:val="00E91AFB"/>
    <w:rsid w:val="00E91B24"/>
    <w:rsid w:val="00E933F0"/>
    <w:rsid w:val="00E93655"/>
    <w:rsid w:val="00E94C99"/>
    <w:rsid w:val="00EA14AA"/>
    <w:rsid w:val="00EA4D78"/>
    <w:rsid w:val="00EB4719"/>
    <w:rsid w:val="00EC1FD8"/>
    <w:rsid w:val="00EC54A6"/>
    <w:rsid w:val="00EC691C"/>
    <w:rsid w:val="00EC74FF"/>
    <w:rsid w:val="00ED3CC5"/>
    <w:rsid w:val="00ED4A94"/>
    <w:rsid w:val="00ED56FD"/>
    <w:rsid w:val="00EE0418"/>
    <w:rsid w:val="00EE1F9A"/>
    <w:rsid w:val="00EF5D76"/>
    <w:rsid w:val="00EF7688"/>
    <w:rsid w:val="00F237BF"/>
    <w:rsid w:val="00F426B2"/>
    <w:rsid w:val="00F43DF3"/>
    <w:rsid w:val="00F53B0E"/>
    <w:rsid w:val="00F54AB3"/>
    <w:rsid w:val="00F61A72"/>
    <w:rsid w:val="00F8762F"/>
    <w:rsid w:val="00F91468"/>
    <w:rsid w:val="00FA2BB1"/>
    <w:rsid w:val="00FA44D2"/>
    <w:rsid w:val="00FB131A"/>
    <w:rsid w:val="00FB4585"/>
    <w:rsid w:val="00FB55BD"/>
    <w:rsid w:val="00FC3372"/>
    <w:rsid w:val="00FD6C15"/>
    <w:rsid w:val="00FE0C94"/>
    <w:rsid w:val="00FE4DDC"/>
    <w:rsid w:val="00FE4FF6"/>
    <w:rsid w:val="00FE5A4B"/>
    <w:rsid w:val="00FE61EE"/>
    <w:rsid w:val="00FE6DC7"/>
    <w:rsid w:val="00FE73B2"/>
    <w:rsid w:val="00FE7BA8"/>
    <w:rsid w:val="01050EA7"/>
    <w:rsid w:val="0124161D"/>
    <w:rsid w:val="03BB8CA8"/>
    <w:rsid w:val="04839459"/>
    <w:rsid w:val="060188C5"/>
    <w:rsid w:val="077716FF"/>
    <w:rsid w:val="077BA70B"/>
    <w:rsid w:val="07F51C36"/>
    <w:rsid w:val="082E497D"/>
    <w:rsid w:val="0A6AB76E"/>
    <w:rsid w:val="0F1A0A56"/>
    <w:rsid w:val="0FD5DF45"/>
    <w:rsid w:val="112DC72E"/>
    <w:rsid w:val="14B43422"/>
    <w:rsid w:val="15A10401"/>
    <w:rsid w:val="161D7EB7"/>
    <w:rsid w:val="161E3526"/>
    <w:rsid w:val="16DFB5B3"/>
    <w:rsid w:val="173473B3"/>
    <w:rsid w:val="17F27E34"/>
    <w:rsid w:val="1A177052"/>
    <w:rsid w:val="1A943E88"/>
    <w:rsid w:val="1AF614CB"/>
    <w:rsid w:val="1C721C41"/>
    <w:rsid w:val="1CE6D009"/>
    <w:rsid w:val="1CEDA7F5"/>
    <w:rsid w:val="1EBB7E70"/>
    <w:rsid w:val="1EC71592"/>
    <w:rsid w:val="1F090153"/>
    <w:rsid w:val="1FBE239C"/>
    <w:rsid w:val="205644A3"/>
    <w:rsid w:val="23002472"/>
    <w:rsid w:val="239DE78E"/>
    <w:rsid w:val="24774079"/>
    <w:rsid w:val="24A4B00F"/>
    <w:rsid w:val="24D4D323"/>
    <w:rsid w:val="24F1563D"/>
    <w:rsid w:val="25CC12BA"/>
    <w:rsid w:val="262A8461"/>
    <w:rsid w:val="2693D098"/>
    <w:rsid w:val="28F0FC68"/>
    <w:rsid w:val="29040BEB"/>
    <w:rsid w:val="290DEC7D"/>
    <w:rsid w:val="2B6579B7"/>
    <w:rsid w:val="2BD35379"/>
    <w:rsid w:val="2C6A0EE4"/>
    <w:rsid w:val="2C855673"/>
    <w:rsid w:val="2ED7C369"/>
    <w:rsid w:val="2F987E23"/>
    <w:rsid w:val="2FDA8B80"/>
    <w:rsid w:val="3011831F"/>
    <w:rsid w:val="3054B87F"/>
    <w:rsid w:val="3274C79F"/>
    <w:rsid w:val="39C360CD"/>
    <w:rsid w:val="3A69E57B"/>
    <w:rsid w:val="3BC937B0"/>
    <w:rsid w:val="3D622D3C"/>
    <w:rsid w:val="419B28D1"/>
    <w:rsid w:val="433074AF"/>
    <w:rsid w:val="44C544B4"/>
    <w:rsid w:val="4775417C"/>
    <w:rsid w:val="47EEF466"/>
    <w:rsid w:val="4806F4EE"/>
    <w:rsid w:val="49CBFDF0"/>
    <w:rsid w:val="4A26CEED"/>
    <w:rsid w:val="4C56B04C"/>
    <w:rsid w:val="4D180B6A"/>
    <w:rsid w:val="4D7E4143"/>
    <w:rsid w:val="4FA062BE"/>
    <w:rsid w:val="513F6733"/>
    <w:rsid w:val="51A7B2B2"/>
    <w:rsid w:val="51D4B54C"/>
    <w:rsid w:val="525F6270"/>
    <w:rsid w:val="5411A2A4"/>
    <w:rsid w:val="5A79CA8F"/>
    <w:rsid w:val="5ACDAE1A"/>
    <w:rsid w:val="5B127883"/>
    <w:rsid w:val="615847CB"/>
    <w:rsid w:val="61614489"/>
    <w:rsid w:val="63FA816D"/>
    <w:rsid w:val="661BAF52"/>
    <w:rsid w:val="68B6B830"/>
    <w:rsid w:val="69106FE3"/>
    <w:rsid w:val="69F9BAA3"/>
    <w:rsid w:val="6BB01843"/>
    <w:rsid w:val="6CA8D51D"/>
    <w:rsid w:val="6E0DE25F"/>
    <w:rsid w:val="6F1DB159"/>
    <w:rsid w:val="6F8983B4"/>
    <w:rsid w:val="7056A807"/>
    <w:rsid w:val="70FC4E29"/>
    <w:rsid w:val="71A6A370"/>
    <w:rsid w:val="74ED0A86"/>
    <w:rsid w:val="76B4A7AA"/>
    <w:rsid w:val="775BC1C4"/>
    <w:rsid w:val="77ECEEE5"/>
    <w:rsid w:val="7878554C"/>
    <w:rsid w:val="78C48936"/>
    <w:rsid w:val="7BA293F6"/>
    <w:rsid w:val="7C8BD6A5"/>
    <w:rsid w:val="7CACD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62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aj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D4863"/>
    <w:pPr>
      <w:spacing w:before="240"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E0418"/>
    <w:pPr>
      <w:autoSpaceDE w:val="0"/>
      <w:autoSpaceDN w:val="0"/>
      <w:adjustRightInd w:val="0"/>
      <w:spacing w:before="0" w:after="1920" w:line="240" w:lineRule="auto"/>
      <w:outlineLvl w:val="0"/>
    </w:pPr>
    <w:rPr>
      <w:rFonts w:ascii="WorkSans-SemiBold" w:hAnsi="WorkSans-SemiBold" w:cs="WorkSans-SemiBold"/>
      <w:b/>
      <w:bCs/>
      <w:color w:val="FFFFFF"/>
      <w:kern w:val="0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246"/>
    <w:pPr>
      <w:keepNext/>
      <w:keepLines/>
      <w:spacing w:before="360"/>
      <w:outlineLvl w:val="1"/>
    </w:pPr>
    <w:rPr>
      <w:rFonts w:ascii="Work Sans SemiBold" w:eastAsiaTheme="majorEastAsia" w:hAnsi="Work Sans SemiBold"/>
      <w:color w:val="1A5A8D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246"/>
    <w:pPr>
      <w:keepNext/>
      <w:keepLines/>
      <w:outlineLvl w:val="2"/>
    </w:pPr>
    <w:rPr>
      <w:rFonts w:ascii="Work Sans SemiBold" w:eastAsiaTheme="majorEastAsia" w:hAnsi="Work Sans SemiBold"/>
      <w:color w:val="2F3A48" w:themeColor="accent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246"/>
    <w:pPr>
      <w:keepNext/>
      <w:keepLines/>
      <w:spacing w:before="80" w:after="40"/>
      <w:outlineLvl w:val="3"/>
    </w:pPr>
    <w:rPr>
      <w:rFonts w:eastAsiaTheme="majorEastAsia"/>
      <w:iCs/>
      <w:color w:val="1A5A8D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4863"/>
    <w:pPr>
      <w:keepNext/>
      <w:keepLines/>
      <w:spacing w:before="80" w:after="40"/>
      <w:outlineLvl w:val="4"/>
    </w:pPr>
    <w:rPr>
      <w:rFonts w:ascii="Work Sans SemiBold" w:eastAsiaTheme="majorEastAsia" w:hAnsi="Work Sans SemiBold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4592A"/>
    <w:pPr>
      <w:keepNext/>
      <w:keepLines/>
      <w:spacing w:before="40" w:after="0"/>
      <w:outlineLvl w:val="5"/>
    </w:pPr>
    <w:rPr>
      <w:rFonts w:eastAsiaTheme="majorEastAsia"/>
      <w:i/>
      <w:iCs/>
      <w:color w:val="4297D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4592A"/>
    <w:pPr>
      <w:keepNext/>
      <w:keepLines/>
      <w:spacing w:before="40" w:after="0"/>
      <w:outlineLvl w:val="6"/>
    </w:pPr>
    <w:rPr>
      <w:rFonts w:eastAsiaTheme="majorEastAsia"/>
      <w:color w:val="4297D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4592A"/>
    <w:pPr>
      <w:keepNext/>
      <w:keepLines/>
      <w:spacing w:after="0"/>
      <w:outlineLvl w:val="7"/>
    </w:pPr>
    <w:rPr>
      <w:rFonts w:eastAsiaTheme="majorEastAsia"/>
      <w:i/>
      <w:iCs/>
      <w:color w:val="2275B9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4592A"/>
    <w:pPr>
      <w:keepNext/>
      <w:keepLines/>
      <w:spacing w:after="0"/>
      <w:outlineLvl w:val="8"/>
    </w:pPr>
    <w:rPr>
      <w:rFonts w:eastAsiaTheme="majorEastAsia"/>
      <w:color w:val="2275B9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863"/>
    <w:rPr>
      <w:rFonts w:ascii="WorkSans-SemiBold" w:hAnsi="WorkSans-SemiBold" w:cs="WorkSans-SemiBold"/>
      <w:b/>
      <w:bCs/>
      <w:color w:val="FFFFFF"/>
      <w:kern w:val="0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3D4863"/>
    <w:rPr>
      <w:rFonts w:ascii="Work Sans SemiBold" w:eastAsiaTheme="majorEastAsia" w:hAnsi="Work Sans SemiBold"/>
      <w:color w:val="1A5A8D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4863"/>
    <w:rPr>
      <w:rFonts w:ascii="Work Sans SemiBold" w:eastAsiaTheme="majorEastAsia" w:hAnsi="Work Sans SemiBold"/>
      <w:color w:val="2F3A48" w:themeColor="accent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4863"/>
    <w:rPr>
      <w:rFonts w:eastAsiaTheme="majorEastAsia"/>
      <w:iCs/>
      <w:color w:val="1A5A8D" w:themeColor="tex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D4863"/>
    <w:rPr>
      <w:rFonts w:ascii="Work Sans SemiBold" w:eastAsiaTheme="majorEastAsia" w:hAnsi="Work Sans SemiBol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863"/>
    <w:rPr>
      <w:rFonts w:eastAsiaTheme="majorEastAsia"/>
      <w:i/>
      <w:iCs/>
      <w:color w:val="4297D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863"/>
    <w:rPr>
      <w:rFonts w:eastAsiaTheme="majorEastAsia"/>
      <w:color w:val="4297D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863"/>
    <w:rPr>
      <w:rFonts w:eastAsiaTheme="majorEastAsia"/>
      <w:i/>
      <w:iCs/>
      <w:color w:val="2275B9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863"/>
    <w:rPr>
      <w:rFonts w:eastAsiaTheme="majorEastAsia"/>
      <w:color w:val="2275B9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4592A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D486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E0418"/>
    <w:pPr>
      <w:numPr>
        <w:ilvl w:val="1"/>
      </w:numPr>
    </w:pPr>
    <w:rPr>
      <w:rFonts w:eastAsiaTheme="majorEastAsia"/>
      <w:color w:val="1A5A8D" w:themeColor="accent3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863"/>
    <w:rPr>
      <w:rFonts w:eastAsiaTheme="majorEastAsia"/>
      <w:color w:val="1A5A8D" w:themeColor="accent3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D4863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D4863"/>
    <w:rPr>
      <w:i/>
      <w:iCs/>
    </w:rPr>
  </w:style>
  <w:style w:type="paragraph" w:styleId="ListParagraph">
    <w:name w:val="List Paragraph"/>
    <w:basedOn w:val="Normal"/>
    <w:uiPriority w:val="34"/>
    <w:unhideWhenUsed/>
    <w:qFormat/>
    <w:rsid w:val="00A00B69"/>
  </w:style>
  <w:style w:type="character" w:styleId="IntenseEmphasis">
    <w:name w:val="Intense Emphasis"/>
    <w:basedOn w:val="DefaultParagraphFont"/>
    <w:uiPriority w:val="21"/>
    <w:semiHidden/>
    <w:qFormat/>
    <w:rsid w:val="003D4863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D4863"/>
    <w:pPr>
      <w:pBdr>
        <w:top w:val="single" w:sz="4" w:space="10" w:color="2DA1AF" w:themeColor="accent1" w:themeShade="BF"/>
        <w:bottom w:val="single" w:sz="4" w:space="10" w:color="2DA1AF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48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4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863"/>
  </w:style>
  <w:style w:type="paragraph" w:styleId="Footer">
    <w:name w:val="footer"/>
    <w:basedOn w:val="Normal"/>
    <w:link w:val="FooterChar"/>
    <w:uiPriority w:val="99"/>
    <w:unhideWhenUsed/>
    <w:qFormat/>
    <w:rsid w:val="00B4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863"/>
  </w:style>
  <w:style w:type="character" w:styleId="Hyperlink">
    <w:name w:val="Hyperlink"/>
    <w:basedOn w:val="DefaultParagraphFont"/>
    <w:uiPriority w:val="99"/>
    <w:unhideWhenUsed/>
    <w:rsid w:val="000C5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B3"/>
    <w:rPr>
      <w:color w:val="605E5C"/>
      <w:shd w:val="clear" w:color="auto" w:fill="E1DFDD"/>
    </w:rPr>
  </w:style>
  <w:style w:type="paragraph" w:customStyle="1" w:styleId="Address">
    <w:name w:val="Address"/>
    <w:basedOn w:val="Normal"/>
    <w:next w:val="Normal"/>
    <w:semiHidden/>
    <w:qFormat/>
    <w:rsid w:val="0001178B"/>
    <w:pPr>
      <w:spacing w:before="0" w:after="0"/>
    </w:pPr>
    <w:rPr>
      <w:noProof/>
    </w:rPr>
  </w:style>
  <w:style w:type="paragraph" w:customStyle="1" w:styleId="Bullet1">
    <w:name w:val="Bullet 1"/>
    <w:basedOn w:val="ListParagraph"/>
    <w:uiPriority w:val="2"/>
    <w:unhideWhenUsed/>
    <w:qFormat/>
    <w:rsid w:val="00396177"/>
    <w:pPr>
      <w:numPr>
        <w:numId w:val="15"/>
      </w:numPr>
      <w:ind w:left="1077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103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0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03D"/>
    <w:rPr>
      <w:vertAlign w:val="superscript"/>
    </w:rPr>
  </w:style>
  <w:style w:type="paragraph" w:styleId="Revision">
    <w:name w:val="Revision"/>
    <w:hidden/>
    <w:uiPriority w:val="99"/>
    <w:semiHidden/>
    <w:rsid w:val="00B927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2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cc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actsheets">
  <a:themeElements>
    <a:clrScheme name="Factsheets">
      <a:dk1>
        <a:srgbClr val="1A5A8D"/>
      </a:dk1>
      <a:lt1>
        <a:srgbClr val="E1E8F6"/>
      </a:lt1>
      <a:dk2>
        <a:srgbClr val="44546A"/>
      </a:dk2>
      <a:lt2>
        <a:srgbClr val="F1F4FA"/>
      </a:lt2>
      <a:accent1>
        <a:srgbClr val="54C6D3"/>
      </a:accent1>
      <a:accent2>
        <a:srgbClr val="19B1C3"/>
      </a:accent2>
      <a:accent3>
        <a:srgbClr val="1A5A8D"/>
      </a:accent3>
      <a:accent4>
        <a:srgbClr val="44546A"/>
      </a:accent4>
      <a:accent5>
        <a:srgbClr val="FFFFFF"/>
      </a:accent5>
      <a:accent6>
        <a:srgbClr val="2F3A48"/>
      </a:accent6>
      <a:hlink>
        <a:srgbClr val="0563C1"/>
      </a:hlink>
      <a:folHlink>
        <a:srgbClr val="954F72"/>
      </a:folHlink>
    </a:clrScheme>
    <a:fontScheme name="NACC">
      <a:majorFont>
        <a:latin typeface="Work San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DF0E-C970-498A-9E63-A1BAE2F7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http://www.nacc.gov.au/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2025-03-25T02:35:00Z</dcterms:created>
  <dcterms:modified xsi:type="dcterms:W3CDTF">2025-03-27T22:52:00Z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19192ca9,7402f3c1,4c93ee04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2ac68bb2,245d669a,7f295a77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 </vt:lpwstr>
  </property>
  <property fmtid="{D5CDD505-2E9C-101B-9397-08002B2CF9AE}" pid="8" name="MSIP_Label_4ba86659-d6e4-4b6d-88ae-202639b32f10_Enabled">
    <vt:lpwstr>true</vt:lpwstr>
  </property>
  <property fmtid="{D5CDD505-2E9C-101B-9397-08002B2CF9AE}" pid="9" name="MSIP_Label_4ba86659-d6e4-4b6d-88ae-202639b32f10_SetDate">
    <vt:lpwstr>2025-03-25T02:35:11Z</vt:lpwstr>
  </property>
  <property fmtid="{D5CDD505-2E9C-101B-9397-08002B2CF9AE}" pid="10" name="MSIP_Label_4ba86659-d6e4-4b6d-88ae-202639b32f10_Method">
    <vt:lpwstr>Privileged</vt:lpwstr>
  </property>
  <property fmtid="{D5CDD505-2E9C-101B-9397-08002B2CF9AE}" pid="11" name="MSIP_Label_4ba86659-d6e4-4b6d-88ae-202639b32f10_Name">
    <vt:lpwstr>58a895b5-cb81-4777-98ae-74e2a157223f</vt:lpwstr>
  </property>
  <property fmtid="{D5CDD505-2E9C-101B-9397-08002B2CF9AE}" pid="12" name="MSIP_Label_4ba86659-d6e4-4b6d-88ae-202639b32f10_SiteId">
    <vt:lpwstr>f7f84514-8dcd-479a-9ae7-7501fc047b54</vt:lpwstr>
  </property>
  <property fmtid="{D5CDD505-2E9C-101B-9397-08002B2CF9AE}" pid="13" name="MSIP_Label_4ba86659-d6e4-4b6d-88ae-202639b32f10_ActionId">
    <vt:lpwstr>9f635a02-0651-4e22-a747-3d4461aec047</vt:lpwstr>
  </property>
  <property fmtid="{D5CDD505-2E9C-101B-9397-08002B2CF9AE}" pid="14" name="MSIP_Label_4ba86659-d6e4-4b6d-88ae-202639b32f10_ContentBits">
    <vt:lpwstr>3</vt:lpwstr>
  </property>
  <property fmtid="{D5CDD505-2E9C-101B-9397-08002B2CF9AE}" pid="15" name="MSIP_Label_4ba86659-d6e4-4b6d-88ae-202639b32f10_Tag">
    <vt:lpwstr>10, 0, 1, 1</vt:lpwstr>
  </property>
</Properties>
</file>